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92C8D" w14:textId="750FF046" w:rsidR="00E30A00" w:rsidRDefault="007C3E91" w:rsidP="00306868">
      <w:pPr>
        <w:pStyle w:val="Ttulo1"/>
        <w:spacing w:before="0"/>
        <w:rPr>
          <w:rFonts w:ascii="Arial" w:eastAsia="Arial" w:hAnsi="Arial" w:cs="Arial"/>
          <w:b/>
          <w:bCs/>
          <w:color w:val="000000" w:themeColor="text1"/>
          <w:sz w:val="24"/>
          <w:szCs w:val="24"/>
        </w:rPr>
      </w:pPr>
      <w:r w:rsidRPr="008A5537">
        <w:rPr>
          <w:rFonts w:ascii="Arial" w:eastAsia="Arial" w:hAnsi="Arial" w:cs="Arial"/>
          <w:b/>
          <w:bCs/>
          <w:color w:val="000000" w:themeColor="text1"/>
          <w:sz w:val="24"/>
          <w:szCs w:val="24"/>
        </w:rPr>
        <w:t>Documento Propuesta De Estructuración De Política Pública</w:t>
      </w:r>
    </w:p>
    <w:p w14:paraId="77CEC8C1" w14:textId="7AEEEB05" w:rsidR="00E30A00" w:rsidRPr="008A5537" w:rsidRDefault="003B12C0">
      <w:pPr>
        <w:pStyle w:val="Ttulo2"/>
        <w:rPr>
          <w:rFonts w:ascii="Arial" w:eastAsia="Arial" w:hAnsi="Arial" w:cs="Arial"/>
          <w:color w:val="000000" w:themeColor="text1"/>
          <w:szCs w:val="22"/>
        </w:rPr>
      </w:pPr>
      <w:r w:rsidRPr="00A40EE1">
        <w:rPr>
          <w:rFonts w:ascii="Arial" w:eastAsia="Arial" w:hAnsi="Arial" w:cs="Arial"/>
          <w:b/>
          <w:color w:val="000000" w:themeColor="text1"/>
          <w:szCs w:val="22"/>
        </w:rPr>
        <w:t>Sector líder</w:t>
      </w:r>
      <w:r w:rsidRPr="008A5537">
        <w:rPr>
          <w:rFonts w:ascii="Arial" w:eastAsia="Arial" w:hAnsi="Arial" w:cs="Arial"/>
          <w:color w:val="000000" w:themeColor="text1"/>
          <w:szCs w:val="22"/>
        </w:rPr>
        <w:t xml:space="preserve">: </w:t>
      </w:r>
      <w:r w:rsidR="00D62B04">
        <w:rPr>
          <w:rFonts w:ascii="Arial" w:eastAsia="Arial" w:hAnsi="Arial" w:cs="Arial"/>
          <w:color w:val="000000" w:themeColor="text1"/>
          <w:szCs w:val="22"/>
        </w:rPr>
        <w:t>Integración Social</w:t>
      </w:r>
    </w:p>
    <w:p w14:paraId="52F88DE8" w14:textId="1C60F986" w:rsidR="00E30A00" w:rsidRPr="008A5537" w:rsidRDefault="00306868">
      <w:pPr>
        <w:pStyle w:val="Ttulo2"/>
        <w:rPr>
          <w:rFonts w:ascii="Arial" w:eastAsia="Arial" w:hAnsi="Arial" w:cs="Arial"/>
          <w:color w:val="000000" w:themeColor="text1"/>
          <w:szCs w:val="22"/>
        </w:rPr>
      </w:pPr>
      <w:r w:rsidRPr="00A40EE1">
        <w:rPr>
          <w:rFonts w:ascii="Arial" w:eastAsia="Arial" w:hAnsi="Arial" w:cs="Arial"/>
          <w:b/>
          <w:color w:val="000000" w:themeColor="text1"/>
          <w:szCs w:val="22"/>
        </w:rPr>
        <w:t>Entidad líder:</w:t>
      </w:r>
      <w:r w:rsidR="00D62B04">
        <w:rPr>
          <w:rFonts w:ascii="Arial" w:eastAsia="Arial" w:hAnsi="Arial" w:cs="Arial"/>
          <w:color w:val="000000" w:themeColor="text1"/>
          <w:szCs w:val="22"/>
        </w:rPr>
        <w:t xml:space="preserve"> Secretaría Distrital de Integración Social</w:t>
      </w:r>
    </w:p>
    <w:p w14:paraId="1E875E80" w14:textId="77F3B45B" w:rsidR="003E10AA" w:rsidRPr="003E10AA" w:rsidRDefault="008A5537" w:rsidP="00857465">
      <w:pPr>
        <w:pStyle w:val="Ttulo2"/>
        <w:rPr>
          <w:rFonts w:ascii="Arial" w:hAnsi="Arial" w:cs="Arial"/>
          <w:b/>
          <w:bCs/>
          <w:color w:val="000000" w:themeColor="text1"/>
        </w:rPr>
      </w:pPr>
      <w:r w:rsidRPr="362874ED">
        <w:rPr>
          <w:rFonts w:ascii="Arial" w:hAnsi="Arial" w:cs="Arial"/>
          <w:b/>
          <w:bCs/>
          <w:color w:val="000000" w:themeColor="text1"/>
        </w:rPr>
        <w:t>Nombre de la iniciativa</w:t>
      </w:r>
      <w:r w:rsidR="00D43C49" w:rsidRPr="362874ED">
        <w:rPr>
          <w:rFonts w:ascii="Arial" w:hAnsi="Arial" w:cs="Arial"/>
          <w:b/>
          <w:bCs/>
          <w:color w:val="000000" w:themeColor="text1"/>
        </w:rPr>
        <w:t xml:space="preserve"> de política pública</w:t>
      </w:r>
      <w:r w:rsidRPr="362874ED">
        <w:rPr>
          <w:rFonts w:ascii="Arial" w:hAnsi="Arial" w:cs="Arial"/>
          <w:color w:val="000000" w:themeColor="text1"/>
        </w:rPr>
        <w:t>:</w:t>
      </w:r>
      <w:r w:rsidR="00D62B04" w:rsidRPr="362874ED">
        <w:rPr>
          <w:rFonts w:ascii="Arial" w:hAnsi="Arial" w:cs="Arial"/>
          <w:color w:val="000000" w:themeColor="text1"/>
        </w:rPr>
        <w:t xml:space="preserve"> </w:t>
      </w:r>
      <w:r w:rsidR="00857465" w:rsidRPr="362874ED">
        <w:rPr>
          <w:rFonts w:ascii="Arial" w:hAnsi="Arial" w:cs="Arial"/>
          <w:color w:val="000000" w:themeColor="text1"/>
        </w:rPr>
        <w:t>Política Pública Social para el Envejecimiento y la Vejez en Bogotá D. C</w:t>
      </w:r>
      <w:r w:rsidR="00625E93" w:rsidRPr="362874ED">
        <w:rPr>
          <w:rFonts w:ascii="Arial" w:hAnsi="Arial" w:cs="Arial"/>
          <w:color w:val="000000" w:themeColor="text1"/>
        </w:rPr>
        <w:t>- 2026-2036</w:t>
      </w:r>
    </w:p>
    <w:p w14:paraId="0E42EEDB" w14:textId="0EA24D53" w:rsidR="009453EF" w:rsidRPr="00AF4E9D" w:rsidRDefault="18986E54" w:rsidP="00AF4E9D">
      <w:pPr>
        <w:pStyle w:val="Prrafodelista"/>
        <w:numPr>
          <w:ilvl w:val="0"/>
          <w:numId w:val="34"/>
        </w:numPr>
        <w:spacing w:after="120"/>
        <w:rPr>
          <w:rFonts w:ascii="Arial" w:eastAsiaTheme="majorEastAsia" w:hAnsi="Arial" w:cs="Arial"/>
          <w:b/>
          <w:bCs/>
          <w:color w:val="000000" w:themeColor="text1"/>
          <w:sz w:val="22"/>
          <w:szCs w:val="26"/>
        </w:rPr>
      </w:pPr>
      <w:r w:rsidRPr="07859358">
        <w:rPr>
          <w:rFonts w:ascii="Arial" w:eastAsiaTheme="majorEastAsia" w:hAnsi="Arial" w:cs="Arial"/>
          <w:b/>
          <w:bCs/>
          <w:color w:val="000000" w:themeColor="text1"/>
          <w:sz w:val="22"/>
          <w:szCs w:val="22"/>
        </w:rPr>
        <w:t>Situación problemática a ser atendida por la política pública</w:t>
      </w:r>
    </w:p>
    <w:p w14:paraId="16CF5980" w14:textId="35F8A27A" w:rsidR="009453EF" w:rsidRDefault="7020C79C" w:rsidP="07859358">
      <w:pPr>
        <w:spacing w:after="120"/>
        <w:rPr>
          <w:rFonts w:ascii="Arial" w:eastAsiaTheme="majorEastAsia" w:hAnsi="Arial" w:cs="Arial"/>
          <w:color w:val="000000" w:themeColor="text1"/>
          <w:sz w:val="22"/>
          <w:szCs w:val="22"/>
        </w:rPr>
      </w:pPr>
      <w:r w:rsidRPr="33BE878A">
        <w:rPr>
          <w:rFonts w:ascii="Arial" w:eastAsiaTheme="majorEastAsia" w:hAnsi="Arial" w:cs="Arial"/>
          <w:color w:val="000000" w:themeColor="text1"/>
          <w:sz w:val="22"/>
          <w:szCs w:val="22"/>
        </w:rPr>
        <w:t xml:space="preserve">Bogotá atraviesa un proceso de transformación demográfica acelerada que posiciona el envejecimiento como una de las principales realidades sociales del siglo XXI. Este cambio no solo incrementa la proporción de personas mayores en la ciudad, sino que también plantea nuevas formas de comprender la vejez y construir respuestas colectivas </w:t>
      </w:r>
      <w:r w:rsidR="29CA12F0" w:rsidRPr="33BE878A">
        <w:rPr>
          <w:rFonts w:ascii="Arial" w:eastAsiaTheme="majorEastAsia" w:hAnsi="Arial" w:cs="Arial"/>
          <w:color w:val="000000" w:themeColor="text1"/>
          <w:sz w:val="22"/>
          <w:szCs w:val="22"/>
        </w:rPr>
        <w:t>ante</w:t>
      </w:r>
      <w:r w:rsidR="57622108" w:rsidRPr="33BE878A">
        <w:rPr>
          <w:rFonts w:ascii="Arial" w:eastAsiaTheme="majorEastAsia" w:hAnsi="Arial" w:cs="Arial"/>
          <w:color w:val="000000" w:themeColor="text1"/>
          <w:sz w:val="22"/>
          <w:szCs w:val="22"/>
        </w:rPr>
        <w:t xml:space="preserve"> </w:t>
      </w:r>
      <w:r w:rsidR="29CA12F0" w:rsidRPr="33BE878A">
        <w:rPr>
          <w:rFonts w:ascii="Arial" w:eastAsiaTheme="majorEastAsia" w:hAnsi="Arial" w:cs="Arial"/>
          <w:color w:val="000000" w:themeColor="text1"/>
          <w:sz w:val="22"/>
          <w:szCs w:val="22"/>
        </w:rPr>
        <w:t>la</w:t>
      </w:r>
      <w:r w:rsidR="6C72076B" w:rsidRPr="33BE878A">
        <w:rPr>
          <w:rFonts w:ascii="Arial" w:eastAsiaTheme="majorEastAsia" w:hAnsi="Arial" w:cs="Arial"/>
          <w:color w:val="000000" w:themeColor="text1"/>
          <w:sz w:val="22"/>
          <w:szCs w:val="22"/>
        </w:rPr>
        <w:t xml:space="preserve"> </w:t>
      </w:r>
      <w:r w:rsidR="6C72076B" w:rsidRPr="41F71D56">
        <w:rPr>
          <w:rFonts w:ascii="Arial" w:eastAsiaTheme="majorEastAsia" w:hAnsi="Arial" w:cs="Arial"/>
          <w:color w:val="000000" w:themeColor="text1"/>
          <w:sz w:val="22"/>
          <w:szCs w:val="22"/>
        </w:rPr>
        <w:t xml:space="preserve">persistencia de </w:t>
      </w:r>
      <w:r w:rsidR="1D8C6631" w:rsidRPr="41F71D56">
        <w:rPr>
          <w:rFonts w:ascii="Arial" w:eastAsiaTheme="majorEastAsia" w:hAnsi="Arial" w:cs="Arial"/>
          <w:color w:val="000000" w:themeColor="text1"/>
          <w:sz w:val="22"/>
          <w:szCs w:val="22"/>
        </w:rPr>
        <w:t>situaciones de vulnerabilidad</w:t>
      </w:r>
      <w:r w:rsidR="74AD5B1A" w:rsidRPr="41F71D56">
        <w:rPr>
          <w:rFonts w:ascii="Arial" w:eastAsiaTheme="majorEastAsia" w:hAnsi="Arial" w:cs="Arial"/>
          <w:color w:val="000000" w:themeColor="text1"/>
          <w:sz w:val="22"/>
          <w:szCs w:val="22"/>
        </w:rPr>
        <w:t>, exclusión y desigualdad</w:t>
      </w:r>
      <w:r w:rsidR="664315DD" w:rsidRPr="41F71D56">
        <w:rPr>
          <w:rFonts w:ascii="Arial" w:eastAsiaTheme="majorEastAsia" w:hAnsi="Arial" w:cs="Arial"/>
          <w:color w:val="000000" w:themeColor="text1"/>
          <w:sz w:val="22"/>
          <w:szCs w:val="22"/>
        </w:rPr>
        <w:t xml:space="preserve"> </w:t>
      </w:r>
      <w:r w:rsidR="7A3C1D5E" w:rsidRPr="41F71D56">
        <w:rPr>
          <w:rFonts w:ascii="Arial" w:eastAsiaTheme="majorEastAsia" w:hAnsi="Arial" w:cs="Arial"/>
          <w:color w:val="000000" w:themeColor="text1"/>
          <w:sz w:val="22"/>
          <w:szCs w:val="22"/>
        </w:rPr>
        <w:t>que limitan</w:t>
      </w:r>
      <w:r w:rsidR="74AD5B1A" w:rsidRPr="41F71D56">
        <w:rPr>
          <w:rFonts w:ascii="Arial" w:eastAsiaTheme="majorEastAsia" w:hAnsi="Arial" w:cs="Arial"/>
          <w:color w:val="000000" w:themeColor="text1"/>
          <w:sz w:val="22"/>
          <w:szCs w:val="22"/>
        </w:rPr>
        <w:t xml:space="preserve"> el pleno ejercicio y goce de los derechos de las personas mayores de la ciudad</w:t>
      </w:r>
      <w:r w:rsidR="00021C50" w:rsidRPr="41F71D56">
        <w:rPr>
          <w:rFonts w:ascii="Arial" w:eastAsiaTheme="majorEastAsia" w:hAnsi="Arial" w:cs="Arial"/>
          <w:color w:val="000000" w:themeColor="text1"/>
          <w:sz w:val="22"/>
          <w:szCs w:val="22"/>
        </w:rPr>
        <w:t>.</w:t>
      </w:r>
    </w:p>
    <w:p w14:paraId="1183CD24" w14:textId="02A9F7B0" w:rsidR="009453EF" w:rsidRDefault="18986E54" w:rsidP="07859358">
      <w:pPr>
        <w:spacing w:after="120"/>
        <w:rPr>
          <w:rFonts w:ascii="Arial" w:eastAsiaTheme="majorEastAsia" w:hAnsi="Arial" w:cs="Arial"/>
          <w:color w:val="000000" w:themeColor="text1"/>
          <w:sz w:val="22"/>
          <w:szCs w:val="22"/>
        </w:rPr>
      </w:pPr>
      <w:r w:rsidRPr="07859358">
        <w:rPr>
          <w:rFonts w:ascii="Arial" w:eastAsiaTheme="majorEastAsia" w:hAnsi="Arial" w:cs="Arial"/>
          <w:color w:val="000000" w:themeColor="text1"/>
          <w:sz w:val="22"/>
          <w:szCs w:val="22"/>
        </w:rPr>
        <w:t>La Política Pública Social para el Envejecimiento y la Vejez en el Distrito Capital 2010–2025 (</w:t>
      </w:r>
      <w:r w:rsidR="3A8C35F1" w:rsidRPr="07859358">
        <w:rPr>
          <w:rFonts w:ascii="Arial" w:eastAsiaTheme="majorEastAsia" w:hAnsi="Arial" w:cs="Arial"/>
          <w:color w:val="000000" w:themeColor="text1"/>
          <w:sz w:val="22"/>
          <w:szCs w:val="22"/>
        </w:rPr>
        <w:t xml:space="preserve">en adelante </w:t>
      </w:r>
      <w:r w:rsidRPr="07859358">
        <w:rPr>
          <w:rFonts w:ascii="Arial" w:eastAsiaTheme="majorEastAsia" w:hAnsi="Arial" w:cs="Arial"/>
          <w:color w:val="000000" w:themeColor="text1"/>
          <w:sz w:val="22"/>
          <w:szCs w:val="22"/>
        </w:rPr>
        <w:t>PPSEV), adoptada mediante el Decreto 345 del 18 de agosto de 2010, fue concebida bajo los principios</w:t>
      </w:r>
      <w:r w:rsidR="5D5A9784" w:rsidRPr="07859358">
        <w:rPr>
          <w:rFonts w:ascii="Arial" w:eastAsiaTheme="majorEastAsia" w:hAnsi="Arial" w:cs="Arial"/>
          <w:color w:val="000000" w:themeColor="text1"/>
          <w:sz w:val="22"/>
          <w:szCs w:val="22"/>
        </w:rPr>
        <w:t xml:space="preserve"> de igualdad, diversidad y equidad</w:t>
      </w:r>
      <w:r w:rsidR="20EBAE63" w:rsidRPr="07859358">
        <w:rPr>
          <w:rFonts w:ascii="Arial" w:eastAsiaTheme="majorEastAsia" w:hAnsi="Arial" w:cs="Arial"/>
          <w:color w:val="000000" w:themeColor="text1"/>
          <w:sz w:val="22"/>
          <w:szCs w:val="22"/>
        </w:rPr>
        <w:t xml:space="preserve">, así como </w:t>
      </w:r>
      <w:r w:rsidR="1F545433" w:rsidRPr="07859358">
        <w:rPr>
          <w:rFonts w:ascii="Arial" w:eastAsiaTheme="majorEastAsia" w:hAnsi="Arial" w:cs="Arial"/>
          <w:color w:val="000000" w:themeColor="text1"/>
          <w:sz w:val="22"/>
          <w:szCs w:val="22"/>
        </w:rPr>
        <w:t>los</w:t>
      </w:r>
      <w:r w:rsidRPr="07859358">
        <w:rPr>
          <w:rFonts w:ascii="Arial" w:eastAsiaTheme="majorEastAsia" w:hAnsi="Arial" w:cs="Arial"/>
          <w:color w:val="000000" w:themeColor="text1"/>
          <w:sz w:val="22"/>
          <w:szCs w:val="22"/>
        </w:rPr>
        <w:t xml:space="preserve"> enfoque</w:t>
      </w:r>
      <w:r w:rsidR="1F545433" w:rsidRPr="07859358">
        <w:rPr>
          <w:rFonts w:ascii="Arial" w:eastAsiaTheme="majorEastAsia" w:hAnsi="Arial" w:cs="Arial"/>
          <w:color w:val="000000" w:themeColor="text1"/>
          <w:sz w:val="22"/>
          <w:szCs w:val="22"/>
        </w:rPr>
        <w:t>s</w:t>
      </w:r>
      <w:r w:rsidRPr="07859358">
        <w:rPr>
          <w:rFonts w:ascii="Arial" w:eastAsiaTheme="majorEastAsia" w:hAnsi="Arial" w:cs="Arial"/>
          <w:color w:val="000000" w:themeColor="text1"/>
          <w:sz w:val="22"/>
          <w:szCs w:val="22"/>
        </w:rPr>
        <w:t xml:space="preserve"> de derechos humanos, curso de vida y el concepto de envejecimiento activo</w:t>
      </w:r>
      <w:r w:rsidRPr="07859358">
        <w:rPr>
          <w:rFonts w:ascii="Arial" w:eastAsiaTheme="majorEastAsia" w:hAnsi="Arial" w:cs="Arial"/>
          <w:sz w:val="22"/>
          <w:szCs w:val="22"/>
        </w:rPr>
        <w:t xml:space="preserve">. Según el Plan de Acción aprobado por el Consejo Distrital de Política Social (CONPES) el 11 de mayo de 2022, </w:t>
      </w:r>
      <w:r w:rsidRPr="07859358">
        <w:rPr>
          <w:rFonts w:ascii="Arial" w:eastAsiaTheme="majorEastAsia" w:hAnsi="Arial" w:cs="Arial"/>
          <w:color w:val="000000" w:themeColor="text1"/>
          <w:sz w:val="22"/>
          <w:szCs w:val="22"/>
        </w:rPr>
        <w:t>esta política se encuentra actualmente en fase de implementación, seguimiento y evaluación</w:t>
      </w:r>
      <w:r w:rsidR="76D9D466" w:rsidRPr="07859358">
        <w:rPr>
          <w:rFonts w:ascii="Arial" w:eastAsiaTheme="majorEastAsia" w:hAnsi="Arial" w:cs="Arial"/>
          <w:color w:val="000000" w:themeColor="text1"/>
          <w:sz w:val="22"/>
          <w:szCs w:val="22"/>
        </w:rPr>
        <w:t xml:space="preserve"> (la evaluación comenzó en el segundo semestre de 202</w:t>
      </w:r>
      <w:r w:rsidR="4B804534" w:rsidRPr="07859358">
        <w:rPr>
          <w:rFonts w:ascii="Arial" w:eastAsiaTheme="majorEastAsia" w:hAnsi="Arial" w:cs="Arial"/>
          <w:color w:val="000000" w:themeColor="text1"/>
          <w:sz w:val="22"/>
          <w:szCs w:val="22"/>
        </w:rPr>
        <w:t>4</w:t>
      </w:r>
      <w:r w:rsidR="76D9D466" w:rsidRPr="07859358">
        <w:rPr>
          <w:rFonts w:ascii="Arial" w:eastAsiaTheme="majorEastAsia" w:hAnsi="Arial" w:cs="Arial"/>
          <w:color w:val="000000" w:themeColor="text1"/>
          <w:sz w:val="22"/>
          <w:szCs w:val="22"/>
        </w:rPr>
        <w:t xml:space="preserve"> y actualmente está en curso)</w:t>
      </w:r>
      <w:r w:rsidRPr="07859358">
        <w:rPr>
          <w:rFonts w:ascii="Arial" w:eastAsiaTheme="majorEastAsia" w:hAnsi="Arial" w:cs="Arial"/>
          <w:color w:val="000000" w:themeColor="text1"/>
          <w:sz w:val="22"/>
          <w:szCs w:val="22"/>
        </w:rPr>
        <w:t xml:space="preserve">, culminando sus acciones en </w:t>
      </w:r>
      <w:r w:rsidR="5A213271" w:rsidRPr="41F71D56">
        <w:rPr>
          <w:rFonts w:ascii="Arial" w:eastAsiaTheme="majorEastAsia" w:hAnsi="Arial" w:cs="Arial"/>
          <w:color w:val="000000" w:themeColor="text1"/>
          <w:sz w:val="22"/>
          <w:szCs w:val="22"/>
        </w:rPr>
        <w:t>el segundo semestre</w:t>
      </w:r>
      <w:r w:rsidR="1299F24A" w:rsidRPr="07859358">
        <w:rPr>
          <w:rFonts w:ascii="Arial" w:eastAsiaTheme="majorEastAsia" w:hAnsi="Arial" w:cs="Arial"/>
          <w:color w:val="000000" w:themeColor="text1"/>
          <w:sz w:val="22"/>
          <w:szCs w:val="22"/>
        </w:rPr>
        <w:t xml:space="preserve"> de</w:t>
      </w:r>
      <w:r w:rsidRPr="07859358">
        <w:rPr>
          <w:rFonts w:ascii="Arial" w:eastAsiaTheme="majorEastAsia" w:hAnsi="Arial" w:cs="Arial"/>
          <w:color w:val="000000" w:themeColor="text1"/>
          <w:sz w:val="22"/>
          <w:szCs w:val="22"/>
        </w:rPr>
        <w:t xml:space="preserve"> 2025.</w:t>
      </w:r>
    </w:p>
    <w:p w14:paraId="28ACA292" w14:textId="7A62DBAD" w:rsidR="00164836" w:rsidRDefault="4855F897" w:rsidP="362874ED">
      <w:pPr>
        <w:spacing w:after="120"/>
        <w:rPr>
          <w:rFonts w:ascii="Arial" w:eastAsiaTheme="majorEastAsia" w:hAnsi="Arial" w:cs="Arial"/>
          <w:color w:val="000000" w:themeColor="text1"/>
          <w:sz w:val="22"/>
          <w:szCs w:val="22"/>
        </w:rPr>
      </w:pPr>
      <w:r w:rsidRPr="07859358">
        <w:rPr>
          <w:rFonts w:ascii="Arial" w:hAnsi="Arial" w:cs="Arial"/>
          <w:sz w:val="21"/>
          <w:szCs w:val="21"/>
        </w:rPr>
        <w:t xml:space="preserve">En el marco del ciclo de </w:t>
      </w:r>
      <w:r w:rsidR="0F90CA39" w:rsidRPr="07859358">
        <w:rPr>
          <w:rFonts w:ascii="Arial" w:hAnsi="Arial" w:cs="Arial"/>
          <w:sz w:val="21"/>
          <w:szCs w:val="21"/>
        </w:rPr>
        <w:t>la Política y t</w:t>
      </w:r>
      <w:r w:rsidR="3D2B9E09" w:rsidRPr="07859358">
        <w:rPr>
          <w:rFonts w:ascii="Arial" w:hAnsi="Arial" w:cs="Arial"/>
          <w:sz w:val="21"/>
          <w:szCs w:val="21"/>
        </w:rPr>
        <w:t xml:space="preserve">eniendo en cuenta </w:t>
      </w:r>
      <w:r w:rsidR="2C5321BB" w:rsidRPr="07859358">
        <w:rPr>
          <w:rFonts w:ascii="Arial" w:hAnsi="Arial" w:cs="Arial"/>
          <w:sz w:val="21"/>
          <w:szCs w:val="21"/>
        </w:rPr>
        <w:t>las acciones contempladas en la “</w:t>
      </w:r>
      <w:r w:rsidR="2C5321BB" w:rsidRPr="07859358">
        <w:rPr>
          <w:rFonts w:ascii="Arial" w:hAnsi="Arial" w:cs="Arial"/>
          <w:i/>
          <w:iCs/>
          <w:sz w:val="21"/>
          <w:szCs w:val="21"/>
        </w:rPr>
        <w:t xml:space="preserve">Guía para la Formulación e Implementación de Políticas Públicas en el Distrito </w:t>
      </w:r>
      <w:r w:rsidR="7FAAC044" w:rsidRPr="07859358">
        <w:rPr>
          <w:rFonts w:ascii="Arial" w:hAnsi="Arial" w:cs="Arial"/>
          <w:i/>
          <w:iCs/>
          <w:sz w:val="21"/>
          <w:szCs w:val="21"/>
        </w:rPr>
        <w:t>Capital”</w:t>
      </w:r>
      <w:r w:rsidR="2C5321BB" w:rsidRPr="07859358">
        <w:rPr>
          <w:rFonts w:ascii="Arial" w:hAnsi="Arial" w:cs="Arial"/>
          <w:sz w:val="21"/>
          <w:szCs w:val="21"/>
        </w:rPr>
        <w:t>,</w:t>
      </w:r>
      <w:r w:rsidR="60136277" w:rsidRPr="07859358">
        <w:rPr>
          <w:rFonts w:ascii="Arial" w:hAnsi="Arial" w:cs="Arial"/>
          <w:sz w:val="21"/>
          <w:szCs w:val="21"/>
        </w:rPr>
        <w:t xml:space="preserve"> </w:t>
      </w:r>
      <w:r w:rsidR="2C5321BB" w:rsidRPr="07859358">
        <w:rPr>
          <w:rFonts w:ascii="Arial" w:hAnsi="Arial" w:cs="Arial"/>
          <w:sz w:val="21"/>
          <w:szCs w:val="21"/>
        </w:rPr>
        <w:t>versión 3, de la Secretaría Distrital de Planeación</w:t>
      </w:r>
      <w:r w:rsidR="60136277" w:rsidRPr="07859358">
        <w:rPr>
          <w:rFonts w:ascii="Arial" w:hAnsi="Arial" w:cs="Arial"/>
          <w:sz w:val="21"/>
          <w:szCs w:val="21"/>
        </w:rPr>
        <w:t xml:space="preserve">, es necesario </w:t>
      </w:r>
      <w:r w:rsidR="18986E54" w:rsidRPr="07859358">
        <w:rPr>
          <w:rFonts w:ascii="Arial" w:eastAsiaTheme="majorEastAsia" w:hAnsi="Arial" w:cs="Arial"/>
          <w:color w:val="000000" w:themeColor="text1"/>
          <w:sz w:val="22"/>
          <w:szCs w:val="22"/>
        </w:rPr>
        <w:t>desarrollar las fases de preparación, diagnóstico y formulación</w:t>
      </w:r>
      <w:r w:rsidR="3F560C33" w:rsidRPr="07859358">
        <w:rPr>
          <w:rFonts w:ascii="Arial" w:eastAsiaTheme="majorEastAsia" w:hAnsi="Arial" w:cs="Arial"/>
          <w:color w:val="000000" w:themeColor="text1"/>
          <w:sz w:val="22"/>
          <w:szCs w:val="22"/>
        </w:rPr>
        <w:t>. En</w:t>
      </w:r>
      <w:r w:rsidR="6D31584D" w:rsidRPr="07859358">
        <w:rPr>
          <w:rFonts w:ascii="Arial" w:eastAsiaTheme="majorEastAsia" w:hAnsi="Arial" w:cs="Arial"/>
          <w:color w:val="000000" w:themeColor="text1"/>
          <w:sz w:val="22"/>
          <w:szCs w:val="22"/>
        </w:rPr>
        <w:t xml:space="preserve"> este sentido </w:t>
      </w:r>
      <w:r w:rsidR="18986E54" w:rsidRPr="07859358">
        <w:rPr>
          <w:rFonts w:ascii="Arial" w:eastAsiaTheme="majorEastAsia" w:hAnsi="Arial" w:cs="Arial"/>
          <w:color w:val="000000" w:themeColor="text1"/>
          <w:sz w:val="22"/>
          <w:szCs w:val="22"/>
        </w:rPr>
        <w:t xml:space="preserve">resulta imprescindible iniciar </w:t>
      </w:r>
      <w:r w:rsidR="7CD30C50" w:rsidRPr="07859358">
        <w:rPr>
          <w:rFonts w:ascii="Arial" w:eastAsiaTheme="majorEastAsia" w:hAnsi="Arial" w:cs="Arial"/>
          <w:color w:val="000000" w:themeColor="text1"/>
          <w:sz w:val="22"/>
          <w:szCs w:val="22"/>
        </w:rPr>
        <w:t>l</w:t>
      </w:r>
      <w:r w:rsidR="374C154E" w:rsidRPr="07859358">
        <w:rPr>
          <w:rFonts w:ascii="Arial" w:eastAsiaTheme="majorEastAsia" w:hAnsi="Arial" w:cs="Arial"/>
          <w:color w:val="000000" w:themeColor="text1"/>
          <w:sz w:val="22"/>
          <w:szCs w:val="22"/>
        </w:rPr>
        <w:t>a</w:t>
      </w:r>
      <w:r w:rsidR="18986E54" w:rsidRPr="07859358">
        <w:rPr>
          <w:rFonts w:ascii="Arial" w:eastAsiaTheme="majorEastAsia" w:hAnsi="Arial" w:cs="Arial"/>
          <w:color w:val="000000" w:themeColor="text1"/>
          <w:sz w:val="22"/>
          <w:szCs w:val="22"/>
        </w:rPr>
        <w:t xml:space="preserve"> </w:t>
      </w:r>
      <w:r w:rsidR="14907F12" w:rsidRPr="07859358">
        <w:rPr>
          <w:rFonts w:ascii="Arial" w:eastAsiaTheme="majorEastAsia" w:hAnsi="Arial" w:cs="Arial"/>
          <w:color w:val="000000" w:themeColor="text1"/>
          <w:sz w:val="22"/>
          <w:szCs w:val="22"/>
        </w:rPr>
        <w:t>formula</w:t>
      </w:r>
      <w:r w:rsidR="6795629F" w:rsidRPr="07859358">
        <w:rPr>
          <w:rFonts w:ascii="Arial" w:eastAsiaTheme="majorEastAsia" w:hAnsi="Arial" w:cs="Arial"/>
          <w:color w:val="000000" w:themeColor="text1"/>
          <w:sz w:val="22"/>
          <w:szCs w:val="22"/>
        </w:rPr>
        <w:t xml:space="preserve">ción </w:t>
      </w:r>
      <w:r w:rsidR="18986E54" w:rsidRPr="07859358">
        <w:rPr>
          <w:rFonts w:ascii="Arial" w:eastAsiaTheme="majorEastAsia" w:hAnsi="Arial" w:cs="Arial"/>
          <w:color w:val="000000" w:themeColor="text1"/>
          <w:sz w:val="22"/>
          <w:szCs w:val="22"/>
        </w:rPr>
        <w:t xml:space="preserve">de la Política Pública </w:t>
      </w:r>
      <w:r w:rsidR="6795629F" w:rsidRPr="07859358">
        <w:rPr>
          <w:rFonts w:ascii="Arial" w:eastAsiaTheme="majorEastAsia" w:hAnsi="Arial" w:cs="Arial"/>
          <w:color w:val="000000" w:themeColor="text1"/>
          <w:sz w:val="22"/>
          <w:szCs w:val="22"/>
        </w:rPr>
        <w:t>para las personas mayores en Bogotá</w:t>
      </w:r>
      <w:r w:rsidR="50E9C7B2" w:rsidRPr="07859358">
        <w:rPr>
          <w:rFonts w:ascii="Arial" w:eastAsiaTheme="majorEastAsia" w:hAnsi="Arial" w:cs="Arial"/>
          <w:color w:val="000000" w:themeColor="text1"/>
          <w:sz w:val="22"/>
          <w:szCs w:val="22"/>
        </w:rPr>
        <w:t xml:space="preserve"> 2026-20</w:t>
      </w:r>
      <w:r w:rsidR="1356511B" w:rsidRPr="07859358">
        <w:rPr>
          <w:rFonts w:ascii="Arial" w:eastAsiaTheme="majorEastAsia" w:hAnsi="Arial" w:cs="Arial"/>
          <w:color w:val="000000" w:themeColor="text1"/>
          <w:sz w:val="22"/>
          <w:szCs w:val="22"/>
        </w:rPr>
        <w:t>36</w:t>
      </w:r>
      <w:r w:rsidR="18986E54" w:rsidRPr="07859358">
        <w:rPr>
          <w:rFonts w:ascii="Arial" w:eastAsiaTheme="majorEastAsia" w:hAnsi="Arial" w:cs="Arial"/>
          <w:color w:val="000000" w:themeColor="text1"/>
          <w:sz w:val="22"/>
          <w:szCs w:val="22"/>
        </w:rPr>
        <w:t xml:space="preserve">, con el propósito de garantizar los derechos de las personas mayores en el Distrito Capital. </w:t>
      </w:r>
    </w:p>
    <w:p w14:paraId="240DEFC2" w14:textId="1380A703" w:rsidR="00826442" w:rsidRDefault="71722562" w:rsidP="07859358">
      <w:pPr>
        <w:spacing w:after="120"/>
        <w:rPr>
          <w:rFonts w:ascii="Arial" w:eastAsiaTheme="majorEastAsia" w:hAnsi="Arial" w:cs="Arial"/>
          <w:color w:val="000000" w:themeColor="text1"/>
          <w:sz w:val="22"/>
          <w:szCs w:val="22"/>
        </w:rPr>
      </w:pPr>
      <w:r w:rsidRPr="07859358">
        <w:rPr>
          <w:rFonts w:ascii="Arial" w:eastAsiaTheme="majorEastAsia" w:hAnsi="Arial" w:cs="Arial"/>
          <w:color w:val="000000" w:themeColor="text1"/>
          <w:sz w:val="22"/>
          <w:szCs w:val="22"/>
        </w:rPr>
        <w:t>La formulación de la nueva Política Pública Social para para las personas mayores en Bogotá 2026-2036</w:t>
      </w:r>
      <w:r w:rsidR="18986E54" w:rsidRPr="07859358">
        <w:rPr>
          <w:rFonts w:ascii="Arial" w:eastAsiaTheme="majorEastAsia" w:hAnsi="Arial" w:cs="Arial"/>
          <w:color w:val="000000" w:themeColor="text1"/>
          <w:sz w:val="22"/>
          <w:szCs w:val="22"/>
        </w:rPr>
        <w:t xml:space="preserve"> deberá enmarcarse en los compromisos internacionales adquiridos por el Estado colombiano, en particular la Convención Interamericana sobre la Protección de los Derechos Humanos de las Personas Mayores (Ley 2055 de 2020), la Agenda 2030 de los Objetivos de Desarrollo Sostenible, y los lineamientos de la Década del Envejecimiento Saludable 2021–2030, iniciativa impulsada por la Organización Mundial de la Salud y las Naciones Unidas, que convoca a todos los sectores de la sociedad a actuar concertadamente para transformar el modo en que se piensa, siente y actúa respecto a la edad y el envejecimiento, y para garantizar mejores condiciones de vida para las personas mayores.</w:t>
      </w:r>
    </w:p>
    <w:p w14:paraId="7170BABA" w14:textId="31891B78" w:rsidR="00025AA9" w:rsidRPr="00257B7B" w:rsidRDefault="3C2D28F7" w:rsidP="33BE878A">
      <w:pPr>
        <w:spacing w:after="120" w:line="259" w:lineRule="auto"/>
        <w:rPr>
          <w:rFonts w:ascii="Arial" w:eastAsiaTheme="majorEastAsia" w:hAnsi="Arial" w:cs="Arial"/>
          <w:color w:val="000000" w:themeColor="text1"/>
          <w:sz w:val="22"/>
          <w:szCs w:val="22"/>
        </w:rPr>
      </w:pPr>
      <w:r w:rsidRPr="33BE878A">
        <w:rPr>
          <w:rFonts w:ascii="Arial" w:eastAsiaTheme="majorEastAsia" w:hAnsi="Arial" w:cs="Arial"/>
          <w:color w:val="000000" w:themeColor="text1"/>
          <w:sz w:val="22"/>
          <w:szCs w:val="22"/>
        </w:rPr>
        <w:t>Dando contexto a la situación de envejecimiento demográfico, se puede observar que de</w:t>
      </w:r>
      <w:r w:rsidR="04AE88BB" w:rsidRPr="33BE878A">
        <w:rPr>
          <w:rFonts w:ascii="Arial" w:eastAsiaTheme="majorEastAsia" w:hAnsi="Arial" w:cs="Arial"/>
          <w:color w:val="000000" w:themeColor="text1"/>
          <w:sz w:val="22"/>
          <w:szCs w:val="22"/>
        </w:rPr>
        <w:t xml:space="preserve"> acuerdo con las proyecciones de población </w:t>
      </w:r>
      <w:r w:rsidR="41670F01" w:rsidRPr="33BE878A">
        <w:rPr>
          <w:rFonts w:ascii="Arial" w:eastAsiaTheme="majorEastAsia" w:hAnsi="Arial" w:cs="Arial"/>
          <w:color w:val="000000" w:themeColor="text1"/>
          <w:sz w:val="22"/>
          <w:szCs w:val="22"/>
        </w:rPr>
        <w:t>del Departamento</w:t>
      </w:r>
      <w:r w:rsidR="3A8C35F1" w:rsidRPr="33BE878A">
        <w:rPr>
          <w:rFonts w:ascii="Arial" w:eastAsiaTheme="majorEastAsia" w:hAnsi="Arial" w:cs="Arial"/>
          <w:color w:val="000000" w:themeColor="text1"/>
          <w:sz w:val="22"/>
          <w:szCs w:val="22"/>
        </w:rPr>
        <w:t xml:space="preserve"> Administrativo Nacional de Estadística (en adelante </w:t>
      </w:r>
      <w:r w:rsidR="4D6D83B1" w:rsidRPr="33BE878A">
        <w:rPr>
          <w:rFonts w:ascii="Arial" w:eastAsiaTheme="majorEastAsia" w:hAnsi="Arial" w:cs="Arial"/>
          <w:color w:val="000000" w:themeColor="text1"/>
          <w:sz w:val="22"/>
          <w:szCs w:val="22"/>
        </w:rPr>
        <w:t>DANE</w:t>
      </w:r>
      <w:r w:rsidR="3A8C35F1" w:rsidRPr="33BE878A">
        <w:rPr>
          <w:rFonts w:ascii="Arial" w:eastAsiaTheme="majorEastAsia" w:hAnsi="Arial" w:cs="Arial"/>
          <w:color w:val="000000" w:themeColor="text1"/>
          <w:sz w:val="22"/>
          <w:szCs w:val="22"/>
        </w:rPr>
        <w:t>)</w:t>
      </w:r>
      <w:r w:rsidR="00091942" w:rsidRPr="33BE878A">
        <w:rPr>
          <w:sz w:val="16"/>
          <w:szCs w:val="16"/>
        </w:rPr>
        <w:footnoteReference w:id="1"/>
      </w:r>
      <w:r w:rsidR="551E2DD3" w:rsidRPr="33BE878A">
        <w:rPr>
          <w:rFonts w:ascii="Arial" w:eastAsiaTheme="majorEastAsia" w:hAnsi="Arial" w:cs="Arial"/>
          <w:color w:val="000000" w:themeColor="text1"/>
          <w:sz w:val="22"/>
          <w:szCs w:val="22"/>
        </w:rPr>
        <w:t>,</w:t>
      </w:r>
      <w:r w:rsidR="04AE88BB" w:rsidRPr="33BE878A">
        <w:rPr>
          <w:rFonts w:ascii="Arial" w:eastAsiaTheme="majorEastAsia" w:hAnsi="Arial" w:cs="Arial"/>
          <w:color w:val="000000" w:themeColor="text1"/>
          <w:sz w:val="22"/>
          <w:szCs w:val="22"/>
        </w:rPr>
        <w:t xml:space="preserve"> se estima que </w:t>
      </w:r>
      <w:r w:rsidR="4B9F1AB3" w:rsidRPr="33BE878A">
        <w:rPr>
          <w:rFonts w:ascii="Arial" w:eastAsiaTheme="majorEastAsia" w:hAnsi="Arial" w:cs="Arial"/>
          <w:color w:val="000000" w:themeColor="text1"/>
          <w:sz w:val="22"/>
          <w:szCs w:val="22"/>
        </w:rPr>
        <w:t xml:space="preserve">hoy </w:t>
      </w:r>
      <w:r w:rsidR="04AE88BB" w:rsidRPr="33BE878A">
        <w:rPr>
          <w:rFonts w:ascii="Arial" w:eastAsiaTheme="majorEastAsia" w:hAnsi="Arial" w:cs="Arial"/>
          <w:color w:val="000000" w:themeColor="text1"/>
          <w:sz w:val="22"/>
          <w:szCs w:val="22"/>
        </w:rPr>
        <w:t>en Colombia hay 7.107.914 personas mayores (60 y más años), es decir el 13</w:t>
      </w:r>
      <w:r w:rsidR="00AA6BF1">
        <w:rPr>
          <w:rFonts w:ascii="Arial" w:eastAsiaTheme="majorEastAsia" w:hAnsi="Arial" w:cs="Arial"/>
          <w:color w:val="000000" w:themeColor="text1"/>
          <w:sz w:val="22"/>
          <w:szCs w:val="22"/>
        </w:rPr>
        <w:t>.</w:t>
      </w:r>
      <w:r w:rsidR="04AE88BB" w:rsidRPr="33BE878A">
        <w:rPr>
          <w:rFonts w:ascii="Arial" w:eastAsiaTheme="majorEastAsia" w:hAnsi="Arial" w:cs="Arial"/>
          <w:color w:val="000000" w:themeColor="text1"/>
          <w:sz w:val="22"/>
          <w:szCs w:val="22"/>
        </w:rPr>
        <w:t>9% de la población del país. De ellas: El 44</w:t>
      </w:r>
      <w:r w:rsidR="00AA6BF1">
        <w:rPr>
          <w:rFonts w:ascii="Arial" w:eastAsiaTheme="majorEastAsia" w:hAnsi="Arial" w:cs="Arial"/>
          <w:color w:val="000000" w:themeColor="text1"/>
          <w:sz w:val="22"/>
          <w:szCs w:val="22"/>
        </w:rPr>
        <w:t>.</w:t>
      </w:r>
      <w:r w:rsidR="04AE88BB" w:rsidRPr="33BE878A">
        <w:rPr>
          <w:rFonts w:ascii="Arial" w:eastAsiaTheme="majorEastAsia" w:hAnsi="Arial" w:cs="Arial"/>
          <w:color w:val="000000" w:themeColor="text1"/>
          <w:sz w:val="22"/>
          <w:szCs w:val="22"/>
        </w:rPr>
        <w:t>9% son hombres (3.189.614 personas) y el 55</w:t>
      </w:r>
      <w:r w:rsidR="002B04DD">
        <w:rPr>
          <w:rFonts w:ascii="Arial" w:eastAsiaTheme="majorEastAsia" w:hAnsi="Arial" w:cs="Arial"/>
          <w:color w:val="000000" w:themeColor="text1"/>
          <w:sz w:val="22"/>
          <w:szCs w:val="22"/>
        </w:rPr>
        <w:t>.</w:t>
      </w:r>
      <w:r w:rsidR="04AE88BB" w:rsidRPr="33BE878A">
        <w:rPr>
          <w:rFonts w:ascii="Arial" w:eastAsiaTheme="majorEastAsia" w:hAnsi="Arial" w:cs="Arial"/>
          <w:color w:val="000000" w:themeColor="text1"/>
          <w:sz w:val="22"/>
          <w:szCs w:val="22"/>
        </w:rPr>
        <w:t xml:space="preserve">1% son mujeres (3.918.300 personas). 23.117 </w:t>
      </w:r>
      <w:r w:rsidR="04AE88BB" w:rsidRPr="33BE878A">
        <w:rPr>
          <w:rFonts w:ascii="Arial" w:eastAsiaTheme="majorEastAsia" w:hAnsi="Arial" w:cs="Arial"/>
          <w:color w:val="000000" w:themeColor="text1"/>
          <w:sz w:val="22"/>
          <w:szCs w:val="22"/>
        </w:rPr>
        <w:lastRenderedPageBreak/>
        <w:t>personas tienen 100 años o más. De quienes el 37</w:t>
      </w:r>
      <w:r w:rsidR="002B04DD">
        <w:rPr>
          <w:rFonts w:ascii="Arial" w:eastAsiaTheme="majorEastAsia" w:hAnsi="Arial" w:cs="Arial"/>
          <w:color w:val="000000" w:themeColor="text1"/>
          <w:sz w:val="22"/>
          <w:szCs w:val="22"/>
        </w:rPr>
        <w:t>.</w:t>
      </w:r>
      <w:r w:rsidR="04AE88BB" w:rsidRPr="33BE878A">
        <w:rPr>
          <w:rFonts w:ascii="Arial" w:eastAsiaTheme="majorEastAsia" w:hAnsi="Arial" w:cs="Arial"/>
          <w:color w:val="000000" w:themeColor="text1"/>
          <w:sz w:val="22"/>
          <w:szCs w:val="22"/>
        </w:rPr>
        <w:t>3% son hombres y el 62</w:t>
      </w:r>
      <w:r w:rsidR="002B04DD">
        <w:rPr>
          <w:rFonts w:ascii="Arial" w:eastAsiaTheme="majorEastAsia" w:hAnsi="Arial" w:cs="Arial"/>
          <w:color w:val="000000" w:themeColor="text1"/>
          <w:sz w:val="22"/>
          <w:szCs w:val="22"/>
        </w:rPr>
        <w:t>.</w:t>
      </w:r>
      <w:r w:rsidR="04AE88BB" w:rsidRPr="33BE878A">
        <w:rPr>
          <w:rFonts w:ascii="Arial" w:eastAsiaTheme="majorEastAsia" w:hAnsi="Arial" w:cs="Arial"/>
          <w:color w:val="000000" w:themeColor="text1"/>
          <w:sz w:val="22"/>
          <w:szCs w:val="22"/>
        </w:rPr>
        <w:t xml:space="preserve">7% son </w:t>
      </w:r>
      <w:r w:rsidR="26BD77C5" w:rsidRPr="33BE878A">
        <w:rPr>
          <w:rFonts w:ascii="Arial" w:eastAsiaTheme="majorEastAsia" w:hAnsi="Arial" w:cs="Arial"/>
          <w:color w:val="000000" w:themeColor="text1"/>
          <w:sz w:val="22"/>
          <w:szCs w:val="22"/>
        </w:rPr>
        <w:t>mujeres</w:t>
      </w:r>
      <w:r w:rsidR="00D1333B" w:rsidRPr="33BE878A">
        <w:rPr>
          <w:sz w:val="16"/>
          <w:szCs w:val="16"/>
        </w:rPr>
        <w:footnoteReference w:id="2"/>
      </w:r>
      <w:r w:rsidR="40F1C671" w:rsidRPr="33BE878A">
        <w:rPr>
          <w:rFonts w:ascii="Arial" w:eastAsiaTheme="majorEastAsia" w:hAnsi="Arial" w:cs="Arial"/>
          <w:color w:val="000000" w:themeColor="text1"/>
          <w:sz w:val="22"/>
          <w:szCs w:val="22"/>
        </w:rPr>
        <w:t>.</w:t>
      </w:r>
    </w:p>
    <w:p w14:paraId="7AE66149" w14:textId="4992BE5F" w:rsidR="000770C9" w:rsidRPr="00257B7B" w:rsidRDefault="21D26D08" w:rsidP="00826442">
      <w:pPr>
        <w:spacing w:after="120"/>
        <w:rPr>
          <w:rFonts w:ascii="Arial" w:eastAsiaTheme="majorEastAsia" w:hAnsi="Arial" w:cs="Arial"/>
          <w:color w:val="000000" w:themeColor="text1"/>
          <w:sz w:val="22"/>
          <w:szCs w:val="22"/>
        </w:rPr>
      </w:pPr>
      <w:r w:rsidRPr="07859358">
        <w:rPr>
          <w:rFonts w:ascii="Arial" w:eastAsiaTheme="majorEastAsia" w:hAnsi="Arial" w:cs="Arial"/>
          <w:color w:val="000000" w:themeColor="text1"/>
          <w:sz w:val="22"/>
          <w:szCs w:val="22"/>
        </w:rPr>
        <w:t xml:space="preserve">De otra </w:t>
      </w:r>
      <w:r w:rsidR="10A7F5B8" w:rsidRPr="07859358">
        <w:rPr>
          <w:rFonts w:ascii="Arial" w:eastAsiaTheme="majorEastAsia" w:hAnsi="Arial" w:cs="Arial"/>
          <w:color w:val="000000" w:themeColor="text1"/>
          <w:sz w:val="22"/>
          <w:szCs w:val="22"/>
        </w:rPr>
        <w:t>parte,</w:t>
      </w:r>
      <w:r w:rsidRPr="07859358">
        <w:rPr>
          <w:rFonts w:ascii="Arial" w:eastAsiaTheme="majorEastAsia" w:hAnsi="Arial" w:cs="Arial"/>
          <w:color w:val="000000" w:themeColor="text1"/>
          <w:sz w:val="22"/>
          <w:szCs w:val="22"/>
        </w:rPr>
        <w:t xml:space="preserve"> se </w:t>
      </w:r>
      <w:r w:rsidR="429D09F6" w:rsidRPr="07859358">
        <w:rPr>
          <w:rFonts w:ascii="Arial" w:eastAsiaTheme="majorEastAsia" w:hAnsi="Arial" w:cs="Arial"/>
          <w:color w:val="000000" w:themeColor="text1"/>
          <w:sz w:val="22"/>
          <w:szCs w:val="22"/>
        </w:rPr>
        <w:t>observa</w:t>
      </w:r>
      <w:r w:rsidRPr="07859358">
        <w:rPr>
          <w:rFonts w:ascii="Arial" w:eastAsiaTheme="majorEastAsia" w:hAnsi="Arial" w:cs="Arial"/>
          <w:color w:val="000000" w:themeColor="text1"/>
          <w:sz w:val="22"/>
          <w:szCs w:val="22"/>
        </w:rPr>
        <w:t xml:space="preserve"> </w:t>
      </w:r>
      <w:r w:rsidR="41892C4D" w:rsidRPr="07859358">
        <w:rPr>
          <w:rFonts w:ascii="Arial" w:eastAsiaTheme="majorEastAsia" w:hAnsi="Arial" w:cs="Arial"/>
          <w:color w:val="000000" w:themeColor="text1"/>
          <w:sz w:val="22"/>
          <w:szCs w:val="22"/>
        </w:rPr>
        <w:t>una reducción de 14</w:t>
      </w:r>
      <w:r w:rsidR="002B04DD">
        <w:rPr>
          <w:rFonts w:ascii="Arial" w:eastAsiaTheme="majorEastAsia" w:hAnsi="Arial" w:cs="Arial"/>
          <w:color w:val="000000" w:themeColor="text1"/>
          <w:sz w:val="22"/>
          <w:szCs w:val="22"/>
        </w:rPr>
        <w:t>.</w:t>
      </w:r>
      <w:r w:rsidR="41892C4D" w:rsidRPr="07859358">
        <w:rPr>
          <w:rFonts w:ascii="Arial" w:eastAsiaTheme="majorEastAsia" w:hAnsi="Arial" w:cs="Arial"/>
          <w:color w:val="000000" w:themeColor="text1"/>
          <w:sz w:val="22"/>
          <w:szCs w:val="22"/>
        </w:rPr>
        <w:t xml:space="preserve">6 % en los nacimientos durante los primeros cuatro meses de 2024 frente a los mismos meses de 2023. </w:t>
      </w:r>
    </w:p>
    <w:p w14:paraId="2745CCCC" w14:textId="379BCD28" w:rsidR="009C6D7E" w:rsidRDefault="50F4B230" w:rsidP="07859358">
      <w:pPr>
        <w:spacing w:after="120"/>
        <w:rPr>
          <w:rFonts w:ascii="Arial" w:eastAsiaTheme="majorEastAsia" w:hAnsi="Arial" w:cs="Arial"/>
          <w:color w:val="000000" w:themeColor="text1"/>
          <w:sz w:val="22"/>
          <w:szCs w:val="22"/>
        </w:rPr>
      </w:pPr>
      <w:r w:rsidRPr="07859358">
        <w:rPr>
          <w:rFonts w:ascii="Arial" w:eastAsiaTheme="majorEastAsia" w:hAnsi="Arial" w:cs="Arial"/>
          <w:color w:val="000000" w:themeColor="text1"/>
          <w:sz w:val="22"/>
          <w:szCs w:val="22"/>
        </w:rPr>
        <w:t>P</w:t>
      </w:r>
      <w:r w:rsidR="67E68691" w:rsidRPr="07859358">
        <w:rPr>
          <w:rFonts w:ascii="Arial" w:eastAsiaTheme="majorEastAsia" w:hAnsi="Arial" w:cs="Arial"/>
          <w:color w:val="000000" w:themeColor="text1"/>
          <w:sz w:val="22"/>
          <w:szCs w:val="22"/>
        </w:rPr>
        <w:t>ara el año 2025, Bogotá contaría con aproximadamente 1.265.039 personas mayores de 60 años, representando el 15</w:t>
      </w:r>
      <w:r w:rsidR="002B04DD">
        <w:rPr>
          <w:rFonts w:ascii="Arial" w:eastAsiaTheme="majorEastAsia" w:hAnsi="Arial" w:cs="Arial"/>
          <w:color w:val="000000" w:themeColor="text1"/>
          <w:sz w:val="22"/>
          <w:szCs w:val="22"/>
        </w:rPr>
        <w:t>.</w:t>
      </w:r>
      <w:r w:rsidR="67E68691" w:rsidRPr="07859358">
        <w:rPr>
          <w:rFonts w:ascii="Arial" w:eastAsiaTheme="majorEastAsia" w:hAnsi="Arial" w:cs="Arial"/>
          <w:color w:val="000000" w:themeColor="text1"/>
          <w:sz w:val="22"/>
          <w:szCs w:val="22"/>
        </w:rPr>
        <w:t>93 % del total de habitantes. Se proyecta que para 2050 esta proporción alcanzará el 27</w:t>
      </w:r>
      <w:r w:rsidR="002B04DD">
        <w:rPr>
          <w:rFonts w:ascii="Arial" w:eastAsiaTheme="majorEastAsia" w:hAnsi="Arial" w:cs="Arial"/>
          <w:color w:val="000000" w:themeColor="text1"/>
          <w:sz w:val="22"/>
          <w:szCs w:val="22"/>
        </w:rPr>
        <w:t>.</w:t>
      </w:r>
      <w:r w:rsidR="67E68691" w:rsidRPr="07859358">
        <w:rPr>
          <w:rFonts w:ascii="Arial" w:eastAsiaTheme="majorEastAsia" w:hAnsi="Arial" w:cs="Arial"/>
          <w:color w:val="000000" w:themeColor="text1"/>
          <w:sz w:val="22"/>
          <w:szCs w:val="22"/>
        </w:rPr>
        <w:t>39 %</w:t>
      </w:r>
      <w:r w:rsidR="6CEDFABD" w:rsidRPr="07859358">
        <w:rPr>
          <w:rFonts w:ascii="Arial" w:eastAsiaTheme="majorEastAsia" w:hAnsi="Arial" w:cs="Arial"/>
          <w:color w:val="000000" w:themeColor="text1"/>
          <w:sz w:val="22"/>
          <w:szCs w:val="22"/>
        </w:rPr>
        <w:t xml:space="preserve"> del total de habitantes </w:t>
      </w:r>
      <w:r w:rsidR="67E68691" w:rsidRPr="07859358">
        <w:rPr>
          <w:rFonts w:ascii="Arial" w:eastAsiaTheme="majorEastAsia" w:hAnsi="Arial" w:cs="Arial"/>
          <w:color w:val="000000" w:themeColor="text1"/>
          <w:sz w:val="22"/>
          <w:szCs w:val="22"/>
        </w:rPr>
        <w:t>evidenciando un proceso de envejecimiento acelerado y sostenido. Esta tendencia impone una presión creciente sobre los sistemas de protección social, salud, cuidados de largo plazo, vivienda adaptada y participación social.</w:t>
      </w:r>
    </w:p>
    <w:p w14:paraId="50C3B947" w14:textId="1F5610C7" w:rsidR="6A0AC33E" w:rsidRDefault="6A0AC33E" w:rsidP="41F71D56">
      <w:pPr>
        <w:spacing w:after="120"/>
        <w:rPr>
          <w:rFonts w:ascii="Arial" w:eastAsiaTheme="majorEastAsia" w:hAnsi="Arial" w:cs="Arial"/>
          <w:color w:val="000000" w:themeColor="text1"/>
          <w:sz w:val="22"/>
          <w:szCs w:val="22"/>
        </w:rPr>
      </w:pPr>
      <w:r w:rsidRPr="41F71D56">
        <w:rPr>
          <w:rFonts w:ascii="Arial" w:eastAsiaTheme="majorEastAsia" w:hAnsi="Arial" w:cs="Arial"/>
          <w:color w:val="000000" w:themeColor="text1"/>
          <w:sz w:val="22"/>
          <w:szCs w:val="22"/>
        </w:rPr>
        <w:t>Bogotá se acerca a un punto de inflexión demográfico: el Proyecto de Base del Plan Distrital de Desarrollo 2024-2027 “Bogotá Camina Segura” calcula que en 2035 el índice de envejecimiento llegará a 133</w:t>
      </w:r>
      <w:r w:rsidR="47E5DDC4" w:rsidRPr="41F71D56">
        <w:rPr>
          <w:rFonts w:ascii="Arial" w:eastAsiaTheme="majorEastAsia" w:hAnsi="Arial" w:cs="Arial"/>
          <w:color w:val="000000" w:themeColor="text1"/>
          <w:sz w:val="22"/>
          <w:szCs w:val="22"/>
        </w:rPr>
        <w:t>.</w:t>
      </w:r>
      <w:r w:rsidRPr="41F71D56">
        <w:rPr>
          <w:rFonts w:ascii="Arial" w:eastAsiaTheme="majorEastAsia" w:hAnsi="Arial" w:cs="Arial"/>
          <w:color w:val="000000" w:themeColor="text1"/>
          <w:sz w:val="22"/>
          <w:szCs w:val="22"/>
        </w:rPr>
        <w:t>6, lo que significa que habrá más personas de 60 años que niñas y niños menores de 15. Esta transformación se inscribe en una tendencia ya visible: entre 2019 y 2022 el índice de envejecimiento subió de 73.10 a 85</w:t>
      </w:r>
      <w:r w:rsidR="17B8574C" w:rsidRPr="41F71D56">
        <w:rPr>
          <w:rFonts w:ascii="Arial" w:eastAsiaTheme="majorEastAsia" w:hAnsi="Arial" w:cs="Arial"/>
          <w:color w:val="000000" w:themeColor="text1"/>
          <w:sz w:val="22"/>
          <w:szCs w:val="22"/>
        </w:rPr>
        <w:t>.</w:t>
      </w:r>
      <w:r w:rsidRPr="41F71D56">
        <w:rPr>
          <w:rFonts w:ascii="Arial" w:eastAsiaTheme="majorEastAsia" w:hAnsi="Arial" w:cs="Arial"/>
          <w:color w:val="000000" w:themeColor="text1"/>
          <w:sz w:val="22"/>
          <w:szCs w:val="22"/>
        </w:rPr>
        <w:t>09, un incremento de 16</w:t>
      </w:r>
      <w:r w:rsidR="6D789D58" w:rsidRPr="41F71D56">
        <w:rPr>
          <w:rFonts w:ascii="Arial" w:eastAsiaTheme="majorEastAsia" w:hAnsi="Arial" w:cs="Arial"/>
          <w:color w:val="000000" w:themeColor="text1"/>
          <w:sz w:val="22"/>
          <w:szCs w:val="22"/>
        </w:rPr>
        <w:t>.</w:t>
      </w:r>
      <w:r w:rsidRPr="41F71D56">
        <w:rPr>
          <w:rFonts w:ascii="Arial" w:eastAsiaTheme="majorEastAsia" w:hAnsi="Arial" w:cs="Arial"/>
          <w:color w:val="000000" w:themeColor="text1"/>
          <w:sz w:val="22"/>
          <w:szCs w:val="22"/>
        </w:rPr>
        <w:t>5 % que confirma la aceleración del proceso</w:t>
      </w:r>
    </w:p>
    <w:p w14:paraId="6BDFBBA1" w14:textId="5135EEE7" w:rsidR="00163374" w:rsidRPr="00F90CD5" w:rsidRDefault="5AD54B54" w:rsidP="33BE878A">
      <w:pPr>
        <w:spacing w:after="120" w:line="259" w:lineRule="auto"/>
        <w:rPr>
          <w:rStyle w:val="Refdenotaalpie"/>
          <w:rFonts w:ascii="Arial" w:eastAsiaTheme="majorEastAsia" w:hAnsi="Arial" w:cs="Arial"/>
          <w:color w:val="000000" w:themeColor="text1"/>
          <w:sz w:val="22"/>
          <w:szCs w:val="22"/>
        </w:rPr>
      </w:pPr>
      <w:r w:rsidRPr="07859358">
        <w:rPr>
          <w:rFonts w:ascii="Arial" w:eastAsiaTheme="majorEastAsia" w:hAnsi="Arial" w:cs="Arial"/>
          <w:color w:val="000000" w:themeColor="text1"/>
          <w:sz w:val="22"/>
          <w:szCs w:val="22"/>
        </w:rPr>
        <w:t xml:space="preserve">Teniendo en cuenta </w:t>
      </w:r>
      <w:r w:rsidR="0C50DCA2" w:rsidRPr="07859358">
        <w:rPr>
          <w:rFonts w:ascii="Arial" w:eastAsiaTheme="majorEastAsia" w:hAnsi="Arial" w:cs="Arial"/>
          <w:color w:val="000000" w:themeColor="text1"/>
          <w:sz w:val="22"/>
          <w:szCs w:val="22"/>
        </w:rPr>
        <w:t>lo concluido en los diferentes documentos generados</w:t>
      </w:r>
      <w:r w:rsidR="51C5109B" w:rsidRPr="07859358">
        <w:rPr>
          <w:rFonts w:ascii="Arial" w:eastAsiaTheme="majorEastAsia" w:hAnsi="Arial" w:cs="Arial"/>
          <w:color w:val="000000" w:themeColor="text1"/>
          <w:sz w:val="22"/>
          <w:szCs w:val="22"/>
        </w:rPr>
        <w:t xml:space="preserve">, </w:t>
      </w:r>
      <w:r w:rsidR="51C5109B" w:rsidRPr="33BE878A">
        <w:rPr>
          <w:rFonts w:ascii="Arial" w:eastAsiaTheme="majorEastAsia" w:hAnsi="Arial" w:cs="Arial"/>
          <w:color w:val="000000" w:themeColor="text1"/>
          <w:sz w:val="22"/>
          <w:szCs w:val="22"/>
        </w:rPr>
        <w:t>liderados por la Subdirección para la Vejez,</w:t>
      </w:r>
      <w:r w:rsidR="0C50DCA2" w:rsidRPr="07859358">
        <w:rPr>
          <w:rFonts w:ascii="Arial" w:eastAsiaTheme="majorEastAsia" w:hAnsi="Arial" w:cs="Arial"/>
          <w:color w:val="000000" w:themeColor="text1"/>
          <w:sz w:val="22"/>
          <w:szCs w:val="22"/>
        </w:rPr>
        <w:t xml:space="preserve"> durante los años 2022 y 2023</w:t>
      </w:r>
      <w:r w:rsidR="4C1EA7D6" w:rsidRPr="07859358">
        <w:rPr>
          <w:rFonts w:ascii="Arial" w:eastAsiaTheme="majorEastAsia" w:hAnsi="Arial" w:cs="Arial"/>
          <w:color w:val="000000" w:themeColor="text1"/>
          <w:sz w:val="22"/>
          <w:szCs w:val="22"/>
        </w:rPr>
        <w:t xml:space="preserve">, </w:t>
      </w:r>
      <w:r w:rsidR="0C50DCA2" w:rsidRPr="07859358">
        <w:rPr>
          <w:rFonts w:ascii="Arial" w:eastAsiaTheme="majorEastAsia" w:hAnsi="Arial" w:cs="Arial"/>
          <w:color w:val="000000" w:themeColor="text1"/>
          <w:sz w:val="22"/>
          <w:szCs w:val="22"/>
        </w:rPr>
        <w:t xml:space="preserve">para </w:t>
      </w:r>
      <w:r w:rsidR="03B675A8" w:rsidRPr="07859358">
        <w:rPr>
          <w:rFonts w:ascii="Arial" w:eastAsiaTheme="majorEastAsia" w:hAnsi="Arial" w:cs="Arial"/>
          <w:color w:val="000000" w:themeColor="text1"/>
          <w:sz w:val="22"/>
          <w:szCs w:val="22"/>
        </w:rPr>
        <w:t>comprender</w:t>
      </w:r>
      <w:r w:rsidR="0C50DCA2" w:rsidRPr="07859358">
        <w:rPr>
          <w:rFonts w:ascii="Arial" w:eastAsiaTheme="majorEastAsia" w:hAnsi="Arial" w:cs="Arial"/>
          <w:color w:val="000000" w:themeColor="text1"/>
          <w:sz w:val="22"/>
          <w:szCs w:val="22"/>
        </w:rPr>
        <w:t xml:space="preserve"> la situaci</w:t>
      </w:r>
      <w:r w:rsidR="4AA548C5" w:rsidRPr="07859358">
        <w:rPr>
          <w:rFonts w:ascii="Arial" w:eastAsiaTheme="majorEastAsia" w:hAnsi="Arial" w:cs="Arial"/>
          <w:color w:val="000000" w:themeColor="text1"/>
          <w:sz w:val="22"/>
          <w:szCs w:val="22"/>
        </w:rPr>
        <w:t>ón actual y futura de las personas mayores de Bogotá</w:t>
      </w:r>
      <w:r w:rsidR="000203D9" w:rsidRPr="33BE878A">
        <w:rPr>
          <w:rStyle w:val="Refdenotaalpie"/>
          <w:rFonts w:ascii="Arial" w:eastAsiaTheme="majorEastAsia" w:hAnsi="Arial" w:cs="Arial"/>
          <w:color w:val="000000" w:themeColor="text1"/>
          <w:sz w:val="22"/>
          <w:szCs w:val="22"/>
        </w:rPr>
        <w:footnoteReference w:id="3"/>
      </w:r>
      <w:r w:rsidR="360DC68D" w:rsidRPr="07859358">
        <w:rPr>
          <w:rFonts w:ascii="Arial" w:eastAsiaTheme="majorEastAsia" w:hAnsi="Arial" w:cs="Arial"/>
          <w:color w:val="000000" w:themeColor="text1"/>
          <w:sz w:val="22"/>
          <w:szCs w:val="22"/>
        </w:rPr>
        <w:t xml:space="preserve"> persisten las siguientes problemáticas</w:t>
      </w:r>
      <w:r w:rsidR="6C102E1C" w:rsidRPr="07859358">
        <w:rPr>
          <w:rFonts w:ascii="Arial" w:eastAsiaTheme="majorEastAsia" w:hAnsi="Arial" w:cs="Arial"/>
          <w:color w:val="000000" w:themeColor="text1"/>
          <w:sz w:val="22"/>
          <w:szCs w:val="22"/>
        </w:rPr>
        <w:t>:</w:t>
      </w:r>
    </w:p>
    <w:p w14:paraId="3BB9E9AB" w14:textId="7036879D" w:rsidR="046C2F75" w:rsidRDefault="046C2F75" w:rsidP="41F71D56">
      <w:pPr>
        <w:pStyle w:val="Prrafodelista"/>
        <w:numPr>
          <w:ilvl w:val="0"/>
          <w:numId w:val="25"/>
        </w:numPr>
        <w:spacing w:after="120"/>
        <w:ind w:left="426"/>
        <w:rPr>
          <w:rFonts w:ascii="Arial" w:eastAsiaTheme="majorEastAsia" w:hAnsi="Arial" w:cs="Arial"/>
          <w:color w:val="000000" w:themeColor="text1"/>
          <w:sz w:val="22"/>
          <w:szCs w:val="22"/>
        </w:rPr>
      </w:pPr>
      <w:r w:rsidRPr="41F71D56">
        <w:rPr>
          <w:rFonts w:ascii="Arial" w:eastAsiaTheme="majorEastAsia" w:hAnsi="Arial" w:cs="Arial"/>
          <w:b/>
          <w:bCs/>
          <w:color w:val="000000" w:themeColor="text1"/>
          <w:sz w:val="22"/>
          <w:szCs w:val="22"/>
        </w:rPr>
        <w:t>D</w:t>
      </w:r>
      <w:r w:rsidR="00163374" w:rsidRPr="41F71D56">
        <w:rPr>
          <w:rFonts w:ascii="Arial" w:eastAsiaTheme="majorEastAsia" w:hAnsi="Arial" w:cs="Arial"/>
          <w:b/>
          <w:bCs/>
          <w:color w:val="000000" w:themeColor="text1"/>
          <w:sz w:val="22"/>
          <w:szCs w:val="22"/>
        </w:rPr>
        <w:t>esigualdades económicas persistentes</w:t>
      </w:r>
      <w:r w:rsidR="00163374" w:rsidRPr="41F71D56">
        <w:rPr>
          <w:rFonts w:ascii="Arial" w:eastAsiaTheme="majorEastAsia" w:hAnsi="Arial" w:cs="Arial"/>
          <w:color w:val="000000" w:themeColor="text1"/>
          <w:sz w:val="22"/>
          <w:szCs w:val="22"/>
        </w:rPr>
        <w:t xml:space="preserve">: </w:t>
      </w:r>
      <w:r w:rsidR="0946DFD1" w:rsidRPr="41F71D56">
        <w:rPr>
          <w:rFonts w:ascii="Arial" w:eastAsiaTheme="majorEastAsia" w:hAnsi="Arial" w:cs="Arial"/>
          <w:color w:val="000000" w:themeColor="text1"/>
          <w:sz w:val="22"/>
          <w:szCs w:val="22"/>
        </w:rPr>
        <w:t xml:space="preserve">Las repercusiones económicas son evidentes. </w:t>
      </w:r>
      <w:r w:rsidR="2DDBCEFA" w:rsidRPr="41F71D56">
        <w:rPr>
          <w:rFonts w:ascii="Arial" w:eastAsiaTheme="majorEastAsia" w:hAnsi="Arial" w:cs="Arial"/>
          <w:color w:val="000000" w:themeColor="text1"/>
          <w:sz w:val="22"/>
          <w:szCs w:val="22"/>
        </w:rPr>
        <w:t>La Encuesta Multipropósito de 2021 indica que el 27</w:t>
      </w:r>
      <w:r w:rsidR="00347110">
        <w:rPr>
          <w:rFonts w:ascii="Arial" w:eastAsiaTheme="majorEastAsia" w:hAnsi="Arial" w:cs="Arial"/>
          <w:color w:val="000000" w:themeColor="text1"/>
          <w:sz w:val="22"/>
          <w:szCs w:val="22"/>
        </w:rPr>
        <w:t>.</w:t>
      </w:r>
      <w:r w:rsidR="2DDBCEFA" w:rsidRPr="41F71D56">
        <w:rPr>
          <w:rFonts w:ascii="Arial" w:eastAsiaTheme="majorEastAsia" w:hAnsi="Arial" w:cs="Arial"/>
          <w:color w:val="000000" w:themeColor="text1"/>
          <w:sz w:val="22"/>
          <w:szCs w:val="22"/>
        </w:rPr>
        <w:t>3 % de las personas mayores viven en pobreza monetaria y el 5</w:t>
      </w:r>
      <w:r w:rsidR="00347110">
        <w:rPr>
          <w:rFonts w:ascii="Arial" w:eastAsiaTheme="majorEastAsia" w:hAnsi="Arial" w:cs="Arial"/>
          <w:color w:val="000000" w:themeColor="text1"/>
          <w:sz w:val="22"/>
          <w:szCs w:val="22"/>
        </w:rPr>
        <w:t>.</w:t>
      </w:r>
      <w:r w:rsidR="2DDBCEFA" w:rsidRPr="41F71D56">
        <w:rPr>
          <w:rFonts w:ascii="Arial" w:eastAsiaTheme="majorEastAsia" w:hAnsi="Arial" w:cs="Arial"/>
          <w:color w:val="000000" w:themeColor="text1"/>
          <w:sz w:val="22"/>
          <w:szCs w:val="22"/>
        </w:rPr>
        <w:t xml:space="preserve">2 % en pobreza multidimensional. </w:t>
      </w:r>
      <w:r w:rsidR="4E1CF3EC" w:rsidRPr="41F71D56">
        <w:rPr>
          <w:rFonts w:ascii="Arial" w:eastAsiaTheme="majorEastAsia" w:hAnsi="Arial" w:cs="Arial"/>
          <w:color w:val="000000" w:themeColor="text1"/>
          <w:sz w:val="22"/>
          <w:szCs w:val="22"/>
        </w:rPr>
        <w:t>En paralelo, l</w:t>
      </w:r>
      <w:r w:rsidR="0946DFD1" w:rsidRPr="41F71D56">
        <w:rPr>
          <w:rFonts w:ascii="Arial" w:eastAsiaTheme="majorEastAsia" w:hAnsi="Arial" w:cs="Arial"/>
          <w:color w:val="000000" w:themeColor="text1"/>
          <w:sz w:val="22"/>
          <w:szCs w:val="22"/>
        </w:rPr>
        <w:t xml:space="preserve">as cifras de la línea </w:t>
      </w:r>
      <w:r w:rsidR="363AA3E2" w:rsidRPr="41F71D56">
        <w:rPr>
          <w:rFonts w:ascii="Arial" w:eastAsiaTheme="majorEastAsia" w:hAnsi="Arial" w:cs="Arial"/>
          <w:color w:val="000000" w:themeColor="text1"/>
          <w:sz w:val="22"/>
          <w:szCs w:val="22"/>
        </w:rPr>
        <w:t xml:space="preserve">de </w:t>
      </w:r>
      <w:r w:rsidR="0946DFD1" w:rsidRPr="41F71D56">
        <w:rPr>
          <w:rFonts w:ascii="Arial" w:eastAsiaTheme="majorEastAsia" w:hAnsi="Arial" w:cs="Arial"/>
          <w:color w:val="000000" w:themeColor="text1"/>
          <w:sz w:val="22"/>
          <w:szCs w:val="22"/>
        </w:rPr>
        <w:t>base muestran que más de la mitad de las personas mayores no cotiza al sistema pensional (51</w:t>
      </w:r>
      <w:r w:rsidR="00202B07">
        <w:rPr>
          <w:rFonts w:ascii="Arial" w:eastAsiaTheme="majorEastAsia" w:hAnsi="Arial" w:cs="Arial"/>
          <w:color w:val="000000" w:themeColor="text1"/>
          <w:sz w:val="22"/>
          <w:szCs w:val="22"/>
        </w:rPr>
        <w:t>.</w:t>
      </w:r>
      <w:r w:rsidR="0946DFD1" w:rsidRPr="41F71D56">
        <w:rPr>
          <w:rFonts w:ascii="Arial" w:eastAsiaTheme="majorEastAsia" w:hAnsi="Arial" w:cs="Arial"/>
          <w:color w:val="000000" w:themeColor="text1"/>
          <w:sz w:val="22"/>
          <w:szCs w:val="22"/>
        </w:rPr>
        <w:t>7 % de los hombres y 56</w:t>
      </w:r>
      <w:r w:rsidR="00202B07">
        <w:rPr>
          <w:rFonts w:ascii="Arial" w:eastAsiaTheme="majorEastAsia" w:hAnsi="Arial" w:cs="Arial"/>
          <w:color w:val="000000" w:themeColor="text1"/>
          <w:sz w:val="22"/>
          <w:szCs w:val="22"/>
        </w:rPr>
        <w:t>.</w:t>
      </w:r>
      <w:r w:rsidR="0946DFD1" w:rsidRPr="41F71D56">
        <w:rPr>
          <w:rFonts w:ascii="Arial" w:eastAsiaTheme="majorEastAsia" w:hAnsi="Arial" w:cs="Arial"/>
          <w:color w:val="000000" w:themeColor="text1"/>
          <w:sz w:val="22"/>
          <w:szCs w:val="22"/>
        </w:rPr>
        <w:t>3 % de las mujeres), mientras solo</w:t>
      </w:r>
      <w:r w:rsidR="549AC256" w:rsidRPr="41F71D56">
        <w:rPr>
          <w:rFonts w:ascii="Arial" w:eastAsiaTheme="majorEastAsia" w:hAnsi="Arial" w:cs="Arial"/>
          <w:color w:val="000000" w:themeColor="text1"/>
          <w:sz w:val="22"/>
          <w:szCs w:val="22"/>
        </w:rPr>
        <w:t xml:space="preserve"> el</w:t>
      </w:r>
      <w:r w:rsidR="0946DFD1" w:rsidRPr="41F71D56">
        <w:rPr>
          <w:rFonts w:ascii="Arial" w:eastAsiaTheme="majorEastAsia" w:hAnsi="Arial" w:cs="Arial"/>
          <w:color w:val="000000" w:themeColor="text1"/>
          <w:sz w:val="22"/>
          <w:szCs w:val="22"/>
        </w:rPr>
        <w:t xml:space="preserve"> 39</w:t>
      </w:r>
      <w:r w:rsidR="00202B07">
        <w:rPr>
          <w:rFonts w:ascii="Arial" w:eastAsiaTheme="majorEastAsia" w:hAnsi="Arial" w:cs="Arial"/>
          <w:color w:val="000000" w:themeColor="text1"/>
          <w:sz w:val="22"/>
          <w:szCs w:val="22"/>
        </w:rPr>
        <w:t>.</w:t>
      </w:r>
      <w:r w:rsidR="0946DFD1" w:rsidRPr="41F71D56">
        <w:rPr>
          <w:rFonts w:ascii="Arial" w:eastAsiaTheme="majorEastAsia" w:hAnsi="Arial" w:cs="Arial"/>
          <w:color w:val="000000" w:themeColor="text1"/>
          <w:sz w:val="22"/>
          <w:szCs w:val="22"/>
        </w:rPr>
        <w:t>9 % recibe pensión, lo que deja a un amplio contingente sin ingresos estables</w:t>
      </w:r>
      <w:r w:rsidR="6203E13A" w:rsidRPr="41F71D56">
        <w:rPr>
          <w:rFonts w:ascii="Arial" w:eastAsiaTheme="majorEastAsia" w:hAnsi="Arial" w:cs="Arial"/>
          <w:color w:val="000000" w:themeColor="text1"/>
          <w:sz w:val="22"/>
          <w:szCs w:val="22"/>
        </w:rPr>
        <w:t>, alimentación</w:t>
      </w:r>
      <w:r w:rsidR="382241DC" w:rsidRPr="41F71D56">
        <w:rPr>
          <w:rFonts w:ascii="Arial" w:eastAsiaTheme="majorEastAsia" w:hAnsi="Arial" w:cs="Arial"/>
          <w:color w:val="000000" w:themeColor="text1"/>
          <w:sz w:val="22"/>
          <w:szCs w:val="22"/>
        </w:rPr>
        <w:t xml:space="preserve"> adecuada</w:t>
      </w:r>
      <w:r w:rsidR="6203E13A" w:rsidRPr="41F71D56">
        <w:rPr>
          <w:rFonts w:ascii="Arial" w:eastAsiaTheme="majorEastAsia" w:hAnsi="Arial" w:cs="Arial"/>
          <w:color w:val="000000" w:themeColor="text1"/>
          <w:sz w:val="22"/>
          <w:szCs w:val="22"/>
        </w:rPr>
        <w:t>, vivienda digna</w:t>
      </w:r>
      <w:r w:rsidR="07CAC2BF" w:rsidRPr="41F71D56">
        <w:rPr>
          <w:rFonts w:ascii="Arial" w:eastAsiaTheme="majorEastAsia" w:hAnsi="Arial" w:cs="Arial"/>
          <w:color w:val="000000" w:themeColor="text1"/>
          <w:sz w:val="22"/>
          <w:szCs w:val="22"/>
        </w:rPr>
        <w:t xml:space="preserve"> y demás</w:t>
      </w:r>
      <w:r w:rsidR="5E5336EB" w:rsidRPr="41F71D56">
        <w:rPr>
          <w:rFonts w:ascii="Arial" w:eastAsiaTheme="majorEastAsia" w:hAnsi="Arial" w:cs="Arial"/>
          <w:color w:val="000000" w:themeColor="text1"/>
          <w:sz w:val="22"/>
          <w:szCs w:val="22"/>
        </w:rPr>
        <w:t xml:space="preserve"> condiciones materiales de vida</w:t>
      </w:r>
      <w:r w:rsidR="3CD2171C" w:rsidRPr="41F71D56">
        <w:rPr>
          <w:rFonts w:ascii="Arial" w:eastAsiaTheme="majorEastAsia" w:hAnsi="Arial" w:cs="Arial"/>
          <w:color w:val="000000" w:themeColor="text1"/>
          <w:sz w:val="22"/>
          <w:szCs w:val="22"/>
        </w:rPr>
        <w:t>, lo que compromete</w:t>
      </w:r>
      <w:r w:rsidR="00163374" w:rsidRPr="41F71D56">
        <w:rPr>
          <w:rFonts w:ascii="Arial" w:eastAsiaTheme="majorEastAsia" w:hAnsi="Arial" w:cs="Arial"/>
          <w:color w:val="000000" w:themeColor="text1"/>
          <w:sz w:val="22"/>
          <w:szCs w:val="22"/>
        </w:rPr>
        <w:t xml:space="preserve"> su autonomía</w:t>
      </w:r>
      <w:r w:rsidR="6E12868B" w:rsidRPr="41F71D56">
        <w:rPr>
          <w:rFonts w:ascii="Arial" w:eastAsiaTheme="majorEastAsia" w:hAnsi="Arial" w:cs="Arial"/>
          <w:color w:val="000000" w:themeColor="text1"/>
          <w:sz w:val="22"/>
          <w:szCs w:val="22"/>
        </w:rPr>
        <w:t xml:space="preserve"> e independencia.</w:t>
      </w:r>
      <w:r w:rsidR="2005A885" w:rsidRPr="41F71D56">
        <w:rPr>
          <w:rFonts w:ascii="Arial" w:eastAsiaTheme="majorEastAsia" w:hAnsi="Arial" w:cs="Arial"/>
          <w:color w:val="000000" w:themeColor="text1"/>
          <w:sz w:val="22"/>
          <w:szCs w:val="22"/>
        </w:rPr>
        <w:t xml:space="preserve"> </w:t>
      </w:r>
    </w:p>
    <w:p w14:paraId="5B92440B" w14:textId="1C4CE1C0" w:rsidR="33BE878A" w:rsidRDefault="33BE878A" w:rsidP="33BE878A">
      <w:pPr>
        <w:pStyle w:val="Prrafodelista"/>
        <w:spacing w:after="120"/>
        <w:ind w:left="426"/>
        <w:rPr>
          <w:rFonts w:ascii="Arial" w:eastAsiaTheme="majorEastAsia" w:hAnsi="Arial" w:cs="Arial"/>
          <w:color w:val="000000" w:themeColor="text1"/>
          <w:sz w:val="22"/>
          <w:szCs w:val="22"/>
        </w:rPr>
      </w:pPr>
    </w:p>
    <w:p w14:paraId="5E25962B" w14:textId="0BE7BB4C" w:rsidR="00163374" w:rsidRPr="006F657D" w:rsidRDefault="00163374" w:rsidP="33BE878A">
      <w:pPr>
        <w:pStyle w:val="Prrafodelista"/>
        <w:numPr>
          <w:ilvl w:val="0"/>
          <w:numId w:val="25"/>
        </w:numPr>
        <w:spacing w:after="120"/>
        <w:ind w:left="426"/>
        <w:rPr>
          <w:rFonts w:ascii="Arial" w:eastAsiaTheme="majorEastAsia" w:hAnsi="Arial" w:cs="Arial"/>
          <w:color w:val="000000" w:themeColor="text1"/>
          <w:sz w:val="22"/>
          <w:szCs w:val="22"/>
        </w:rPr>
      </w:pPr>
      <w:r w:rsidRPr="33BE878A">
        <w:rPr>
          <w:rFonts w:ascii="Arial" w:eastAsiaTheme="majorEastAsia" w:hAnsi="Arial" w:cs="Arial"/>
          <w:b/>
          <w:bCs/>
          <w:color w:val="000000" w:themeColor="text1"/>
          <w:sz w:val="22"/>
          <w:szCs w:val="22"/>
        </w:rPr>
        <w:t xml:space="preserve">Restricciones en el acceso a servicios de salud y </w:t>
      </w:r>
      <w:r w:rsidR="00021278" w:rsidRPr="33BE878A">
        <w:rPr>
          <w:rFonts w:ascii="Arial" w:eastAsiaTheme="majorEastAsia" w:hAnsi="Arial" w:cs="Arial"/>
          <w:b/>
          <w:bCs/>
          <w:color w:val="000000" w:themeColor="text1"/>
          <w:sz w:val="22"/>
          <w:szCs w:val="22"/>
        </w:rPr>
        <w:t xml:space="preserve">de </w:t>
      </w:r>
      <w:r w:rsidRPr="33BE878A">
        <w:rPr>
          <w:rFonts w:ascii="Arial" w:eastAsiaTheme="majorEastAsia" w:hAnsi="Arial" w:cs="Arial"/>
          <w:b/>
          <w:bCs/>
          <w:color w:val="000000" w:themeColor="text1"/>
          <w:sz w:val="22"/>
          <w:szCs w:val="22"/>
        </w:rPr>
        <w:t>cuidados</w:t>
      </w:r>
      <w:r w:rsidRPr="33BE878A">
        <w:rPr>
          <w:rFonts w:ascii="Arial" w:eastAsiaTheme="majorEastAsia" w:hAnsi="Arial" w:cs="Arial"/>
          <w:color w:val="000000" w:themeColor="text1"/>
          <w:sz w:val="22"/>
          <w:szCs w:val="22"/>
        </w:rPr>
        <w:t>: Aunque existe una red distrital de atención en salud, esta resulta insuficiente para responder a la creciente demanda, en especial de personas mayores en situación de dependencia o vulnerabilidad.</w:t>
      </w:r>
      <w:r w:rsidR="00F6544F" w:rsidRPr="33BE878A">
        <w:rPr>
          <w:rFonts w:ascii="Arial" w:eastAsiaTheme="majorEastAsia" w:hAnsi="Arial" w:cs="Arial"/>
          <w:color w:val="000000" w:themeColor="text1"/>
          <w:sz w:val="22"/>
          <w:szCs w:val="22"/>
        </w:rPr>
        <w:t xml:space="preserve"> </w:t>
      </w:r>
      <w:r w:rsidR="00D02F72" w:rsidRPr="33BE878A">
        <w:rPr>
          <w:rFonts w:ascii="Arial" w:eastAsiaTheme="majorEastAsia" w:hAnsi="Arial" w:cs="Arial"/>
          <w:color w:val="000000" w:themeColor="text1"/>
          <w:sz w:val="22"/>
          <w:szCs w:val="22"/>
        </w:rPr>
        <w:t>El 36</w:t>
      </w:r>
      <w:r w:rsidR="00202B07">
        <w:rPr>
          <w:rFonts w:ascii="Arial" w:eastAsiaTheme="majorEastAsia" w:hAnsi="Arial" w:cs="Arial"/>
          <w:color w:val="000000" w:themeColor="text1"/>
          <w:sz w:val="22"/>
          <w:szCs w:val="22"/>
        </w:rPr>
        <w:t>.</w:t>
      </w:r>
      <w:r w:rsidR="00D02F72" w:rsidRPr="33BE878A">
        <w:rPr>
          <w:rFonts w:ascii="Arial" w:eastAsiaTheme="majorEastAsia" w:hAnsi="Arial" w:cs="Arial"/>
          <w:color w:val="000000" w:themeColor="text1"/>
          <w:sz w:val="22"/>
          <w:szCs w:val="22"/>
        </w:rPr>
        <w:t>6</w:t>
      </w:r>
      <w:r w:rsidR="00250551" w:rsidRPr="33BE878A">
        <w:rPr>
          <w:rFonts w:ascii="Arial" w:eastAsiaTheme="majorEastAsia" w:hAnsi="Arial" w:cs="Arial"/>
          <w:color w:val="000000" w:themeColor="text1"/>
          <w:sz w:val="22"/>
          <w:szCs w:val="22"/>
        </w:rPr>
        <w:t>% de las personas mayores tienen la percepción de no gozar de buena salud</w:t>
      </w:r>
      <w:r w:rsidR="008B3306" w:rsidRPr="33BE878A">
        <w:rPr>
          <w:rFonts w:ascii="Arial" w:eastAsiaTheme="majorEastAsia" w:hAnsi="Arial" w:cs="Arial"/>
          <w:color w:val="000000" w:themeColor="text1"/>
          <w:sz w:val="22"/>
          <w:szCs w:val="22"/>
        </w:rPr>
        <w:t>, el 29</w:t>
      </w:r>
      <w:r w:rsidR="00202B07">
        <w:rPr>
          <w:rFonts w:ascii="Arial" w:eastAsiaTheme="majorEastAsia" w:hAnsi="Arial" w:cs="Arial"/>
          <w:color w:val="000000" w:themeColor="text1"/>
          <w:sz w:val="22"/>
          <w:szCs w:val="22"/>
        </w:rPr>
        <w:t>.</w:t>
      </w:r>
      <w:r w:rsidR="00763C72" w:rsidRPr="33BE878A">
        <w:rPr>
          <w:rFonts w:ascii="Arial" w:eastAsiaTheme="majorEastAsia" w:hAnsi="Arial" w:cs="Arial"/>
          <w:color w:val="000000" w:themeColor="text1"/>
          <w:sz w:val="22"/>
          <w:szCs w:val="22"/>
        </w:rPr>
        <w:t>1</w:t>
      </w:r>
      <w:r w:rsidR="009E69E0" w:rsidRPr="33BE878A">
        <w:rPr>
          <w:rFonts w:ascii="Arial" w:eastAsiaTheme="majorEastAsia" w:hAnsi="Arial" w:cs="Arial"/>
          <w:color w:val="000000" w:themeColor="text1"/>
          <w:sz w:val="22"/>
          <w:szCs w:val="22"/>
        </w:rPr>
        <w:t>% m</w:t>
      </w:r>
      <w:r w:rsidR="00763C72" w:rsidRPr="33BE878A">
        <w:rPr>
          <w:rFonts w:ascii="Arial" w:eastAsiaTheme="majorEastAsia" w:hAnsi="Arial" w:cs="Arial"/>
          <w:color w:val="000000" w:themeColor="text1"/>
          <w:sz w:val="22"/>
          <w:szCs w:val="22"/>
        </w:rPr>
        <w:t>anifiesta</w:t>
      </w:r>
      <w:r w:rsidR="009E69E0" w:rsidRPr="33BE878A">
        <w:rPr>
          <w:rFonts w:ascii="Arial" w:eastAsiaTheme="majorEastAsia" w:hAnsi="Arial" w:cs="Arial"/>
          <w:color w:val="000000" w:themeColor="text1"/>
          <w:sz w:val="22"/>
          <w:szCs w:val="22"/>
        </w:rPr>
        <w:t xml:space="preserve"> demora en </w:t>
      </w:r>
      <w:r w:rsidR="00676CF1" w:rsidRPr="33BE878A">
        <w:rPr>
          <w:rFonts w:ascii="Arial" w:eastAsiaTheme="majorEastAsia" w:hAnsi="Arial" w:cs="Arial"/>
          <w:color w:val="000000" w:themeColor="text1"/>
          <w:sz w:val="22"/>
          <w:szCs w:val="22"/>
        </w:rPr>
        <w:t>las citas</w:t>
      </w:r>
      <w:r w:rsidR="00032EF4" w:rsidRPr="33BE878A">
        <w:rPr>
          <w:rFonts w:ascii="Arial" w:eastAsiaTheme="majorEastAsia" w:hAnsi="Arial" w:cs="Arial"/>
          <w:color w:val="000000" w:themeColor="text1"/>
          <w:sz w:val="22"/>
          <w:szCs w:val="22"/>
        </w:rPr>
        <w:t xml:space="preserve">, </w:t>
      </w:r>
      <w:r w:rsidR="009E69E0" w:rsidRPr="33BE878A">
        <w:rPr>
          <w:rFonts w:ascii="Arial" w:eastAsiaTheme="majorEastAsia" w:hAnsi="Arial" w:cs="Arial"/>
          <w:color w:val="000000" w:themeColor="text1"/>
          <w:sz w:val="22"/>
          <w:szCs w:val="22"/>
        </w:rPr>
        <w:t xml:space="preserve">la entrega de medicamentos y </w:t>
      </w:r>
      <w:r w:rsidR="00763C72" w:rsidRPr="33BE878A">
        <w:rPr>
          <w:rFonts w:ascii="Arial" w:eastAsiaTheme="majorEastAsia" w:hAnsi="Arial" w:cs="Arial"/>
          <w:color w:val="000000" w:themeColor="text1"/>
          <w:sz w:val="22"/>
          <w:szCs w:val="22"/>
        </w:rPr>
        <w:t>autorizaciones</w:t>
      </w:r>
      <w:r w:rsidR="0051267F" w:rsidRPr="33BE878A">
        <w:rPr>
          <w:rFonts w:ascii="Arial" w:eastAsiaTheme="majorEastAsia" w:hAnsi="Arial" w:cs="Arial"/>
          <w:color w:val="000000" w:themeColor="text1"/>
          <w:sz w:val="22"/>
          <w:szCs w:val="22"/>
        </w:rPr>
        <w:t xml:space="preserve">, el 24.1% refiere dificultad para agendar citas a través de </w:t>
      </w:r>
      <w:r w:rsidR="1FFC5F8C" w:rsidRPr="33BE878A">
        <w:rPr>
          <w:rFonts w:ascii="Arial" w:eastAsiaTheme="majorEastAsia" w:hAnsi="Arial" w:cs="Arial"/>
          <w:color w:val="000000" w:themeColor="text1"/>
          <w:sz w:val="22"/>
          <w:szCs w:val="22"/>
        </w:rPr>
        <w:t>operadores telefónicos</w:t>
      </w:r>
      <w:r w:rsidR="0051267F" w:rsidRPr="33BE878A">
        <w:rPr>
          <w:rFonts w:ascii="Arial" w:eastAsiaTheme="majorEastAsia" w:hAnsi="Arial" w:cs="Arial"/>
          <w:color w:val="000000" w:themeColor="text1"/>
          <w:sz w:val="22"/>
          <w:szCs w:val="22"/>
        </w:rPr>
        <w:t xml:space="preserve"> o aplicaciones</w:t>
      </w:r>
      <w:r w:rsidR="651C952F" w:rsidRPr="33BE878A">
        <w:rPr>
          <w:rFonts w:ascii="Arial" w:eastAsiaTheme="majorEastAsia" w:hAnsi="Arial" w:cs="Arial"/>
          <w:color w:val="000000" w:themeColor="text1"/>
          <w:sz w:val="22"/>
          <w:szCs w:val="22"/>
        </w:rPr>
        <w:t xml:space="preserve"> y</w:t>
      </w:r>
      <w:r w:rsidR="0047723C" w:rsidRPr="33BE878A">
        <w:rPr>
          <w:rFonts w:ascii="Arial" w:eastAsiaTheme="majorEastAsia" w:hAnsi="Arial" w:cs="Arial"/>
          <w:color w:val="000000" w:themeColor="text1"/>
          <w:sz w:val="22"/>
          <w:szCs w:val="22"/>
        </w:rPr>
        <w:t xml:space="preserve"> el 21.7% </w:t>
      </w:r>
      <w:r w:rsidR="79349A47" w:rsidRPr="33BE878A">
        <w:rPr>
          <w:rFonts w:ascii="Arial" w:eastAsiaTheme="majorEastAsia" w:hAnsi="Arial" w:cs="Arial"/>
          <w:color w:val="000000" w:themeColor="text1"/>
          <w:sz w:val="22"/>
          <w:szCs w:val="22"/>
        </w:rPr>
        <w:t>considera que los</w:t>
      </w:r>
      <w:r w:rsidR="0047723C" w:rsidRPr="33BE878A">
        <w:rPr>
          <w:rFonts w:ascii="Arial" w:eastAsiaTheme="majorEastAsia" w:hAnsi="Arial" w:cs="Arial"/>
          <w:color w:val="000000" w:themeColor="text1"/>
          <w:sz w:val="22"/>
          <w:szCs w:val="22"/>
        </w:rPr>
        <w:t xml:space="preserve"> trámites </w:t>
      </w:r>
      <w:r w:rsidR="7C8B28CF" w:rsidRPr="33BE878A">
        <w:rPr>
          <w:rFonts w:ascii="Arial" w:eastAsiaTheme="majorEastAsia" w:hAnsi="Arial" w:cs="Arial"/>
          <w:color w:val="000000" w:themeColor="text1"/>
          <w:sz w:val="22"/>
          <w:szCs w:val="22"/>
        </w:rPr>
        <w:t xml:space="preserve">son </w:t>
      </w:r>
      <w:r w:rsidR="0047723C" w:rsidRPr="33BE878A">
        <w:rPr>
          <w:rFonts w:ascii="Arial" w:eastAsiaTheme="majorEastAsia" w:hAnsi="Arial" w:cs="Arial"/>
          <w:color w:val="000000" w:themeColor="text1"/>
          <w:sz w:val="22"/>
          <w:szCs w:val="22"/>
        </w:rPr>
        <w:t>excesivos</w:t>
      </w:r>
      <w:r w:rsidR="00562BE2" w:rsidRPr="33BE878A">
        <w:rPr>
          <w:rStyle w:val="Refdenotaalpie"/>
          <w:rFonts w:eastAsiaTheme="majorEastAsia" w:cs="Arial"/>
          <w:color w:val="000000" w:themeColor="text1"/>
        </w:rPr>
        <w:footnoteReference w:id="4"/>
      </w:r>
      <w:r w:rsidR="0047723C" w:rsidRPr="33BE878A">
        <w:rPr>
          <w:rFonts w:ascii="Arial" w:eastAsiaTheme="majorEastAsia" w:hAnsi="Arial" w:cs="Arial"/>
          <w:color w:val="000000" w:themeColor="text1"/>
          <w:sz w:val="22"/>
          <w:szCs w:val="22"/>
        </w:rPr>
        <w:t>.</w:t>
      </w:r>
      <w:r w:rsidR="3E02942A" w:rsidRPr="33BE878A">
        <w:rPr>
          <w:rFonts w:ascii="Arial" w:eastAsiaTheme="majorEastAsia" w:hAnsi="Arial" w:cs="Arial"/>
          <w:color w:val="000000" w:themeColor="text1"/>
          <w:sz w:val="22"/>
          <w:szCs w:val="22"/>
        </w:rPr>
        <w:t xml:space="preserve"> Adicionalmente, se observa la demanda de servicios de cuidado por edad, discapacidad y soledad. El 14 % de las personas mayores requieren cuidadores. La </w:t>
      </w:r>
      <w:r w:rsidR="3E02942A" w:rsidRPr="33BE878A">
        <w:rPr>
          <w:rFonts w:ascii="Arial" w:eastAsiaTheme="majorEastAsia" w:hAnsi="Arial" w:cs="Arial"/>
          <w:color w:val="000000" w:themeColor="text1"/>
          <w:sz w:val="22"/>
          <w:szCs w:val="22"/>
        </w:rPr>
        <w:lastRenderedPageBreak/>
        <w:t>carga de cuidado recae principalmente sobre mujeres mayores</w:t>
      </w:r>
      <w:r w:rsidR="152A8152" w:rsidRPr="33BE878A">
        <w:rPr>
          <w:rFonts w:ascii="Arial" w:eastAsiaTheme="majorEastAsia" w:hAnsi="Arial" w:cs="Arial"/>
          <w:color w:val="000000" w:themeColor="text1"/>
          <w:sz w:val="22"/>
          <w:szCs w:val="22"/>
        </w:rPr>
        <w:t>.</w:t>
      </w:r>
      <w:r w:rsidR="478C7CD7" w:rsidRPr="33BE878A">
        <w:rPr>
          <w:rFonts w:ascii="Arial" w:eastAsiaTheme="majorEastAsia" w:hAnsi="Arial" w:cs="Arial"/>
          <w:color w:val="000000" w:themeColor="text1"/>
          <w:sz w:val="22"/>
          <w:szCs w:val="22"/>
        </w:rPr>
        <w:t xml:space="preserve"> De persistir estas restricciones se ve comprometido</w:t>
      </w:r>
      <w:r w:rsidR="53B6E7F3" w:rsidRPr="33BE878A">
        <w:rPr>
          <w:rFonts w:ascii="Arial" w:eastAsiaTheme="majorEastAsia" w:hAnsi="Arial" w:cs="Arial"/>
          <w:color w:val="000000" w:themeColor="text1"/>
          <w:sz w:val="22"/>
          <w:szCs w:val="22"/>
        </w:rPr>
        <w:t>s,</w:t>
      </w:r>
      <w:r w:rsidR="478C7CD7" w:rsidRPr="33BE878A">
        <w:rPr>
          <w:rFonts w:ascii="Arial" w:eastAsiaTheme="majorEastAsia" w:hAnsi="Arial" w:cs="Arial"/>
          <w:color w:val="000000" w:themeColor="text1"/>
          <w:sz w:val="22"/>
          <w:szCs w:val="22"/>
        </w:rPr>
        <w:t xml:space="preserve"> directamente el bienestar y la vida de la</w:t>
      </w:r>
      <w:r w:rsidR="7EBE89DF" w:rsidRPr="33BE878A">
        <w:rPr>
          <w:rFonts w:ascii="Arial" w:eastAsiaTheme="majorEastAsia" w:hAnsi="Arial" w:cs="Arial"/>
          <w:color w:val="000000" w:themeColor="text1"/>
          <w:sz w:val="22"/>
          <w:szCs w:val="22"/>
        </w:rPr>
        <w:t xml:space="preserve"> </w:t>
      </w:r>
      <w:r w:rsidR="478C7CD7" w:rsidRPr="33BE878A">
        <w:rPr>
          <w:rFonts w:ascii="Arial" w:eastAsiaTheme="majorEastAsia" w:hAnsi="Arial" w:cs="Arial"/>
          <w:color w:val="000000" w:themeColor="text1"/>
          <w:sz w:val="22"/>
          <w:szCs w:val="22"/>
        </w:rPr>
        <w:t>persona mayor.</w:t>
      </w:r>
    </w:p>
    <w:p w14:paraId="62FED91F" w14:textId="77777777" w:rsidR="00163374" w:rsidRDefault="00163374" w:rsidP="00163374">
      <w:pPr>
        <w:pStyle w:val="Prrafodelista"/>
        <w:spacing w:after="120"/>
        <w:ind w:left="426"/>
        <w:rPr>
          <w:rFonts w:ascii="Arial" w:eastAsiaTheme="majorEastAsia" w:hAnsi="Arial" w:cs="Arial"/>
          <w:color w:val="000000" w:themeColor="text1"/>
          <w:sz w:val="22"/>
          <w:szCs w:val="22"/>
        </w:rPr>
      </w:pPr>
    </w:p>
    <w:p w14:paraId="03016EC8" w14:textId="75E64240" w:rsidR="00163374" w:rsidRDefault="00163374" w:rsidP="41F71D56">
      <w:pPr>
        <w:pStyle w:val="Prrafodelista"/>
        <w:numPr>
          <w:ilvl w:val="0"/>
          <w:numId w:val="25"/>
        </w:numPr>
        <w:spacing w:after="120"/>
        <w:ind w:left="426"/>
        <w:rPr>
          <w:rFonts w:ascii="Arial" w:eastAsiaTheme="majorEastAsia" w:hAnsi="Arial" w:cs="Arial"/>
          <w:color w:val="000000" w:themeColor="text1"/>
          <w:sz w:val="22"/>
          <w:szCs w:val="22"/>
        </w:rPr>
      </w:pPr>
      <w:r w:rsidRPr="41F71D56">
        <w:rPr>
          <w:rFonts w:ascii="Arial" w:eastAsiaTheme="majorEastAsia" w:hAnsi="Arial" w:cs="Arial"/>
          <w:b/>
          <w:bCs/>
          <w:color w:val="000000" w:themeColor="text1"/>
          <w:sz w:val="22"/>
          <w:szCs w:val="22"/>
        </w:rPr>
        <w:t xml:space="preserve">Barreras </w:t>
      </w:r>
      <w:r w:rsidR="00B4064C" w:rsidRPr="41F71D56">
        <w:rPr>
          <w:rFonts w:ascii="Arial" w:eastAsiaTheme="majorEastAsia" w:hAnsi="Arial" w:cs="Arial"/>
          <w:b/>
          <w:bCs/>
          <w:color w:val="000000" w:themeColor="text1"/>
          <w:sz w:val="22"/>
          <w:szCs w:val="22"/>
        </w:rPr>
        <w:t xml:space="preserve">de acceso en el uso de </w:t>
      </w:r>
      <w:r w:rsidR="00A45DE7" w:rsidRPr="41F71D56">
        <w:rPr>
          <w:rFonts w:ascii="Arial" w:eastAsiaTheme="majorEastAsia" w:hAnsi="Arial" w:cs="Arial"/>
          <w:b/>
          <w:bCs/>
          <w:color w:val="000000" w:themeColor="text1"/>
          <w:sz w:val="22"/>
          <w:szCs w:val="22"/>
        </w:rPr>
        <w:t>tecnologías</w:t>
      </w:r>
      <w:r w:rsidRPr="41F71D56">
        <w:rPr>
          <w:rFonts w:ascii="Arial" w:eastAsiaTheme="majorEastAsia" w:hAnsi="Arial" w:cs="Arial"/>
          <w:color w:val="000000" w:themeColor="text1"/>
          <w:sz w:val="22"/>
          <w:szCs w:val="22"/>
        </w:rPr>
        <w:t xml:space="preserve">: </w:t>
      </w:r>
      <w:r w:rsidR="1A1323F1" w:rsidRPr="41F71D56">
        <w:rPr>
          <w:rFonts w:ascii="Arial" w:eastAsiaTheme="majorEastAsia" w:hAnsi="Arial" w:cs="Arial"/>
          <w:color w:val="000000" w:themeColor="text1"/>
          <w:sz w:val="22"/>
          <w:szCs w:val="22"/>
        </w:rPr>
        <w:t>La inclusión digital ha mejorado, pero la brecha persiste. Si bien 75</w:t>
      </w:r>
      <w:r w:rsidR="00202B07">
        <w:rPr>
          <w:rFonts w:ascii="Arial" w:eastAsiaTheme="majorEastAsia" w:hAnsi="Arial" w:cs="Arial"/>
          <w:color w:val="000000" w:themeColor="text1"/>
          <w:sz w:val="22"/>
          <w:szCs w:val="22"/>
        </w:rPr>
        <w:t>.</w:t>
      </w:r>
      <w:r w:rsidR="1A1323F1" w:rsidRPr="41F71D56">
        <w:rPr>
          <w:rFonts w:ascii="Arial" w:eastAsiaTheme="majorEastAsia" w:hAnsi="Arial" w:cs="Arial"/>
          <w:color w:val="000000" w:themeColor="text1"/>
          <w:sz w:val="22"/>
          <w:szCs w:val="22"/>
        </w:rPr>
        <w:t>9 % de las personas mayores ya accede a internet, frente al 15 % en 2014, todavía una de cada cuatro permanece fuera del ecosistema digital, l</w:t>
      </w:r>
      <w:r w:rsidR="2E59C861" w:rsidRPr="41F71D56">
        <w:rPr>
          <w:rFonts w:ascii="Arial" w:eastAsiaTheme="majorEastAsia" w:hAnsi="Arial" w:cs="Arial"/>
          <w:color w:val="000000" w:themeColor="text1"/>
          <w:sz w:val="22"/>
          <w:szCs w:val="22"/>
        </w:rPr>
        <w:t>o cual agrava su exclusión en una sociedad crecientemente mediada por tecnologías, lo que restringe su acceso al derecho a la información, comunicación y conocimiento, así como a la participación social</w:t>
      </w:r>
      <w:r w:rsidR="4430305C" w:rsidRPr="41F71D56">
        <w:rPr>
          <w:rFonts w:ascii="Arial" w:eastAsiaTheme="majorEastAsia" w:hAnsi="Arial" w:cs="Arial"/>
          <w:color w:val="000000" w:themeColor="text1"/>
          <w:sz w:val="22"/>
          <w:szCs w:val="22"/>
        </w:rPr>
        <w:t>.</w:t>
      </w:r>
    </w:p>
    <w:p w14:paraId="1D013544" w14:textId="4662DB06" w:rsidR="41F71D56" w:rsidRDefault="41F71D56" w:rsidP="41F71D56">
      <w:pPr>
        <w:pStyle w:val="Prrafodelista"/>
        <w:spacing w:after="120"/>
        <w:ind w:left="426"/>
        <w:rPr>
          <w:rFonts w:ascii="Arial" w:eastAsiaTheme="majorEastAsia" w:hAnsi="Arial" w:cs="Arial"/>
          <w:color w:val="000000" w:themeColor="text1"/>
          <w:sz w:val="22"/>
          <w:szCs w:val="22"/>
        </w:rPr>
      </w:pPr>
    </w:p>
    <w:p w14:paraId="50DB17E2" w14:textId="1A386CCA" w:rsidR="00163374" w:rsidRDefault="001D280F" w:rsidP="41F71D56">
      <w:pPr>
        <w:pStyle w:val="Prrafodelista"/>
        <w:numPr>
          <w:ilvl w:val="0"/>
          <w:numId w:val="25"/>
        </w:numPr>
        <w:spacing w:after="120"/>
        <w:ind w:left="426"/>
        <w:rPr>
          <w:rFonts w:ascii="Arial" w:eastAsiaTheme="majorEastAsia" w:hAnsi="Arial" w:cs="Arial"/>
          <w:color w:val="000000" w:themeColor="text1"/>
          <w:sz w:val="22"/>
          <w:szCs w:val="22"/>
        </w:rPr>
      </w:pPr>
      <w:r w:rsidRPr="41F71D56">
        <w:rPr>
          <w:rFonts w:ascii="Arial" w:eastAsiaTheme="majorEastAsia" w:hAnsi="Arial" w:cs="Arial"/>
          <w:b/>
          <w:bCs/>
          <w:color w:val="000000" w:themeColor="text1"/>
          <w:sz w:val="22"/>
          <w:szCs w:val="22"/>
        </w:rPr>
        <w:t>Baja participación en escenarios de incidencia</w:t>
      </w:r>
      <w:r w:rsidR="009205EC" w:rsidRPr="41F71D56">
        <w:rPr>
          <w:rFonts w:ascii="Arial" w:eastAsiaTheme="majorEastAsia" w:hAnsi="Arial" w:cs="Arial"/>
          <w:color w:val="000000" w:themeColor="text1"/>
          <w:sz w:val="22"/>
          <w:szCs w:val="22"/>
        </w:rPr>
        <w:t>.</w:t>
      </w:r>
      <w:r w:rsidR="1849C9D5" w:rsidRPr="41F71D56">
        <w:rPr>
          <w:rFonts w:ascii="Arial" w:eastAsiaTheme="majorEastAsia" w:hAnsi="Arial" w:cs="Arial"/>
          <w:color w:val="000000" w:themeColor="text1"/>
          <w:sz w:val="22"/>
          <w:szCs w:val="22"/>
        </w:rPr>
        <w:t xml:space="preserve"> De acuerdo con la actualización de la </w:t>
      </w:r>
      <w:r w:rsidR="6FEB2FAE" w:rsidRPr="41F71D56">
        <w:rPr>
          <w:rFonts w:ascii="Arial" w:eastAsiaTheme="majorEastAsia" w:hAnsi="Arial" w:cs="Arial"/>
          <w:color w:val="000000" w:themeColor="text1"/>
          <w:sz w:val="22"/>
          <w:szCs w:val="22"/>
        </w:rPr>
        <w:t>línea</w:t>
      </w:r>
      <w:r w:rsidR="1849C9D5" w:rsidRPr="41F71D56">
        <w:rPr>
          <w:rFonts w:ascii="Arial" w:eastAsiaTheme="majorEastAsia" w:hAnsi="Arial" w:cs="Arial"/>
          <w:color w:val="000000" w:themeColor="text1"/>
          <w:sz w:val="22"/>
          <w:szCs w:val="22"/>
        </w:rPr>
        <w:t xml:space="preserve"> de Base 2023, l</w:t>
      </w:r>
      <w:r w:rsidR="6DEC280A" w:rsidRPr="41F71D56">
        <w:rPr>
          <w:rFonts w:ascii="Arial" w:eastAsiaTheme="majorEastAsia" w:hAnsi="Arial" w:cs="Arial"/>
          <w:color w:val="000000" w:themeColor="text1"/>
          <w:sz w:val="22"/>
          <w:szCs w:val="22"/>
        </w:rPr>
        <w:t xml:space="preserve">a participación de las personas mayores en organizaciones sociales, culturales, políticas, religiosas, productivas o gremiales en Bogotá no es muy alta. </w:t>
      </w:r>
      <w:r w:rsidR="54C23C44" w:rsidRPr="41F71D56">
        <w:rPr>
          <w:rFonts w:ascii="Arial" w:eastAsiaTheme="majorEastAsia" w:hAnsi="Arial" w:cs="Arial"/>
          <w:color w:val="000000" w:themeColor="text1"/>
          <w:sz w:val="22"/>
          <w:szCs w:val="22"/>
        </w:rPr>
        <w:t>Según</w:t>
      </w:r>
      <w:r w:rsidR="6DEC280A" w:rsidRPr="41F71D56">
        <w:rPr>
          <w:rFonts w:ascii="Arial" w:eastAsiaTheme="majorEastAsia" w:hAnsi="Arial" w:cs="Arial"/>
          <w:color w:val="000000" w:themeColor="text1"/>
          <w:sz w:val="22"/>
          <w:szCs w:val="22"/>
        </w:rPr>
        <w:t xml:space="preserve"> la Encuesta Multipropósito EM 2021 el 8</w:t>
      </w:r>
      <w:r w:rsidR="00202B07">
        <w:rPr>
          <w:rFonts w:ascii="Arial" w:eastAsiaTheme="majorEastAsia" w:hAnsi="Arial" w:cs="Arial"/>
          <w:color w:val="000000" w:themeColor="text1"/>
          <w:sz w:val="22"/>
          <w:szCs w:val="22"/>
        </w:rPr>
        <w:t>.</w:t>
      </w:r>
      <w:r w:rsidR="6DEC280A" w:rsidRPr="41F71D56">
        <w:rPr>
          <w:rFonts w:ascii="Arial" w:eastAsiaTheme="majorEastAsia" w:hAnsi="Arial" w:cs="Arial"/>
          <w:color w:val="000000" w:themeColor="text1"/>
          <w:sz w:val="22"/>
          <w:szCs w:val="22"/>
        </w:rPr>
        <w:t xml:space="preserve">45 % de las personas mayores pertenecían a organizaciones religiosas, de fe o grupo de oración, siendo esta la más alta. Los demás espacios están por debajo del 1 %. Las personas mayores de Bogotá manifiestan “la necesidad de sentirse vinculadas, escuchadas y de poder ayudar a sus familias y a la comunidad, por lo tanto, sus motivaciones están asociadas a la equidad, solidaridad y justicia social. </w:t>
      </w:r>
    </w:p>
    <w:p w14:paraId="215C1127" w14:textId="3504CF6F" w:rsidR="41F71D56" w:rsidRDefault="41F71D56" w:rsidP="41F71D56">
      <w:pPr>
        <w:pStyle w:val="Prrafodelista"/>
        <w:spacing w:after="120"/>
        <w:ind w:left="426"/>
        <w:rPr>
          <w:rFonts w:ascii="Arial" w:eastAsiaTheme="majorEastAsia" w:hAnsi="Arial" w:cs="Arial"/>
          <w:color w:val="000000" w:themeColor="text1"/>
          <w:sz w:val="22"/>
          <w:szCs w:val="22"/>
        </w:rPr>
      </w:pPr>
    </w:p>
    <w:p w14:paraId="00301E8F" w14:textId="342BD401" w:rsidR="00163374" w:rsidRDefault="52377025" w:rsidP="33BE878A">
      <w:pPr>
        <w:pStyle w:val="Prrafodelista"/>
        <w:numPr>
          <w:ilvl w:val="0"/>
          <w:numId w:val="25"/>
        </w:numPr>
        <w:spacing w:after="120"/>
        <w:ind w:left="426"/>
        <w:rPr>
          <w:rFonts w:ascii="Arial" w:eastAsiaTheme="majorEastAsia" w:hAnsi="Arial" w:cs="Arial"/>
          <w:color w:val="000000" w:themeColor="text1"/>
          <w:sz w:val="22"/>
          <w:szCs w:val="22"/>
        </w:rPr>
      </w:pPr>
      <w:r w:rsidRPr="33BE878A">
        <w:rPr>
          <w:rFonts w:ascii="Arial" w:eastAsiaTheme="majorEastAsia" w:hAnsi="Arial" w:cs="Arial"/>
          <w:b/>
          <w:bCs/>
          <w:color w:val="000000" w:themeColor="text1"/>
          <w:sz w:val="22"/>
          <w:szCs w:val="22"/>
        </w:rPr>
        <w:t>Prevalencia del abandono</w:t>
      </w:r>
      <w:r w:rsidR="7CCF5EED" w:rsidRPr="33BE878A">
        <w:rPr>
          <w:rFonts w:ascii="Arial" w:eastAsiaTheme="majorEastAsia" w:hAnsi="Arial" w:cs="Arial"/>
          <w:b/>
          <w:bCs/>
          <w:color w:val="000000" w:themeColor="text1"/>
          <w:sz w:val="22"/>
          <w:szCs w:val="22"/>
        </w:rPr>
        <w:t xml:space="preserve">, </w:t>
      </w:r>
      <w:r w:rsidRPr="33BE878A">
        <w:rPr>
          <w:rFonts w:ascii="Arial" w:eastAsiaTheme="majorEastAsia" w:hAnsi="Arial" w:cs="Arial"/>
          <w:b/>
          <w:bCs/>
          <w:color w:val="000000" w:themeColor="text1"/>
          <w:sz w:val="22"/>
          <w:szCs w:val="22"/>
        </w:rPr>
        <w:t>violencia</w:t>
      </w:r>
      <w:r w:rsidR="4119EE3D" w:rsidRPr="33BE878A">
        <w:rPr>
          <w:rFonts w:ascii="Arial" w:eastAsiaTheme="majorEastAsia" w:hAnsi="Arial" w:cs="Arial"/>
          <w:b/>
          <w:bCs/>
          <w:color w:val="000000" w:themeColor="text1"/>
          <w:sz w:val="22"/>
          <w:szCs w:val="22"/>
        </w:rPr>
        <w:t xml:space="preserve"> y discriminación por edad</w:t>
      </w:r>
      <w:r w:rsidR="00163374" w:rsidRPr="33BE878A">
        <w:rPr>
          <w:rFonts w:ascii="Arial" w:eastAsiaTheme="majorEastAsia" w:hAnsi="Arial" w:cs="Arial"/>
          <w:color w:val="000000" w:themeColor="text1"/>
          <w:sz w:val="22"/>
          <w:szCs w:val="22"/>
        </w:rPr>
        <w:t>: La violencia intrafamiliar contra personas mayores constituye una expresión estructural de discriminación por edad (edadismo</w:t>
      </w:r>
      <w:r w:rsidR="00CB5F77" w:rsidRPr="33BE878A">
        <w:rPr>
          <w:rStyle w:val="Refdenotaalpie"/>
          <w:rFonts w:eastAsiaTheme="majorEastAsia" w:cs="Arial"/>
          <w:color w:val="000000" w:themeColor="text1"/>
        </w:rPr>
        <w:footnoteReference w:id="5"/>
      </w:r>
      <w:r w:rsidR="00163374" w:rsidRPr="33BE878A">
        <w:rPr>
          <w:rFonts w:ascii="Arial" w:eastAsiaTheme="majorEastAsia" w:hAnsi="Arial" w:cs="Arial"/>
          <w:color w:val="000000" w:themeColor="text1"/>
          <w:sz w:val="22"/>
          <w:szCs w:val="22"/>
        </w:rPr>
        <w:t xml:space="preserve">), naturalizada en el ámbito familiar y profundamente invisibilizada en la agenda pública. Según la actualización de la Línea </w:t>
      </w:r>
      <w:r w:rsidR="30EB5985" w:rsidRPr="41F71D56">
        <w:rPr>
          <w:rFonts w:ascii="Arial" w:eastAsiaTheme="majorEastAsia" w:hAnsi="Arial" w:cs="Arial"/>
          <w:color w:val="000000" w:themeColor="text1"/>
          <w:sz w:val="22"/>
          <w:szCs w:val="22"/>
        </w:rPr>
        <w:t>de</w:t>
      </w:r>
      <w:r w:rsidR="00163374" w:rsidRPr="41F71D56">
        <w:rPr>
          <w:rFonts w:ascii="Arial" w:eastAsiaTheme="majorEastAsia" w:hAnsi="Arial" w:cs="Arial"/>
          <w:color w:val="000000" w:themeColor="text1"/>
          <w:sz w:val="22"/>
          <w:szCs w:val="22"/>
        </w:rPr>
        <w:t xml:space="preserve"> </w:t>
      </w:r>
      <w:r w:rsidR="00163374" w:rsidRPr="33BE878A">
        <w:rPr>
          <w:rFonts w:ascii="Arial" w:eastAsiaTheme="majorEastAsia" w:hAnsi="Arial" w:cs="Arial"/>
          <w:color w:val="000000" w:themeColor="text1"/>
          <w:sz w:val="22"/>
          <w:szCs w:val="22"/>
        </w:rPr>
        <w:t xml:space="preserve">Base de la PPSEV, en 2022 se reportaron 1.979 casos, siendo hijos y hermanos los principales agresores. </w:t>
      </w:r>
      <w:r w:rsidR="677ED559" w:rsidRPr="41F71D56">
        <w:rPr>
          <w:rFonts w:ascii="Arial" w:eastAsiaTheme="majorEastAsia" w:hAnsi="Arial" w:cs="Arial"/>
          <w:color w:val="000000" w:themeColor="text1"/>
          <w:sz w:val="22"/>
          <w:szCs w:val="22"/>
        </w:rPr>
        <w:t>Da</w:t>
      </w:r>
      <w:r w:rsidR="00163374" w:rsidRPr="41F71D56">
        <w:rPr>
          <w:rFonts w:ascii="Arial" w:eastAsiaTheme="majorEastAsia" w:hAnsi="Arial" w:cs="Arial"/>
          <w:color w:val="000000" w:themeColor="text1"/>
          <w:sz w:val="22"/>
          <w:szCs w:val="22"/>
        </w:rPr>
        <w:t>tos</w:t>
      </w:r>
      <w:r w:rsidR="00163374" w:rsidRPr="33BE878A">
        <w:rPr>
          <w:rFonts w:ascii="Arial" w:eastAsiaTheme="majorEastAsia" w:hAnsi="Arial" w:cs="Arial"/>
          <w:color w:val="000000" w:themeColor="text1"/>
          <w:sz w:val="22"/>
          <w:szCs w:val="22"/>
        </w:rPr>
        <w:t xml:space="preserve"> más recientes</w:t>
      </w:r>
      <w:r w:rsidR="00163374" w:rsidRPr="33BE878A">
        <w:rPr>
          <w:rStyle w:val="Refdenotaalpie"/>
          <w:rFonts w:ascii="Arial" w:eastAsiaTheme="majorEastAsia" w:hAnsi="Arial" w:cs="Arial"/>
          <w:color w:val="000000" w:themeColor="text1"/>
          <w:sz w:val="22"/>
          <w:szCs w:val="22"/>
        </w:rPr>
        <w:footnoteReference w:id="6"/>
      </w:r>
      <w:r w:rsidR="00163374" w:rsidRPr="33BE878A">
        <w:rPr>
          <w:rFonts w:ascii="Arial" w:eastAsiaTheme="majorEastAsia" w:hAnsi="Arial" w:cs="Arial"/>
          <w:color w:val="000000" w:themeColor="text1"/>
          <w:sz w:val="22"/>
          <w:szCs w:val="22"/>
        </w:rPr>
        <w:t xml:space="preserve"> evidencian </w:t>
      </w:r>
      <w:r w:rsidR="00163374" w:rsidRPr="41F71D56">
        <w:rPr>
          <w:rFonts w:ascii="Arial" w:eastAsiaTheme="majorEastAsia" w:hAnsi="Arial" w:cs="Arial"/>
          <w:color w:val="000000" w:themeColor="text1"/>
          <w:sz w:val="22"/>
          <w:szCs w:val="22"/>
        </w:rPr>
        <w:t>u</w:t>
      </w:r>
      <w:r w:rsidR="232F5AF5" w:rsidRPr="41F71D56">
        <w:rPr>
          <w:rFonts w:ascii="Arial" w:eastAsiaTheme="majorEastAsia" w:hAnsi="Arial" w:cs="Arial"/>
          <w:color w:val="000000" w:themeColor="text1"/>
          <w:sz w:val="22"/>
          <w:szCs w:val="22"/>
        </w:rPr>
        <w:t>n aumento significativo:</w:t>
      </w:r>
      <w:r w:rsidR="00163374" w:rsidRPr="33BE878A">
        <w:rPr>
          <w:rFonts w:ascii="Arial" w:eastAsiaTheme="majorEastAsia" w:hAnsi="Arial" w:cs="Arial"/>
          <w:color w:val="000000" w:themeColor="text1"/>
          <w:sz w:val="22"/>
          <w:szCs w:val="22"/>
        </w:rPr>
        <w:t xml:space="preserve"> en 2024 las Comisarías de Familia registraron 3.208 casos. De estos, el 67</w:t>
      </w:r>
      <w:r w:rsidR="00DF434C">
        <w:rPr>
          <w:rFonts w:ascii="Arial" w:eastAsiaTheme="majorEastAsia" w:hAnsi="Arial" w:cs="Arial"/>
          <w:color w:val="000000" w:themeColor="text1"/>
          <w:sz w:val="22"/>
          <w:szCs w:val="22"/>
        </w:rPr>
        <w:t>.</w:t>
      </w:r>
      <w:r w:rsidR="00163374" w:rsidRPr="33BE878A">
        <w:rPr>
          <w:rFonts w:ascii="Arial" w:eastAsiaTheme="majorEastAsia" w:hAnsi="Arial" w:cs="Arial"/>
          <w:color w:val="000000" w:themeColor="text1"/>
          <w:sz w:val="22"/>
          <w:szCs w:val="22"/>
        </w:rPr>
        <w:t>11 % correspondieron a mujeres mayores y el 32</w:t>
      </w:r>
      <w:r w:rsidR="00DF434C">
        <w:rPr>
          <w:rFonts w:ascii="Arial" w:eastAsiaTheme="majorEastAsia" w:hAnsi="Arial" w:cs="Arial"/>
          <w:color w:val="000000" w:themeColor="text1"/>
          <w:sz w:val="22"/>
          <w:szCs w:val="22"/>
        </w:rPr>
        <w:t>.</w:t>
      </w:r>
      <w:r w:rsidR="00163374" w:rsidRPr="33BE878A">
        <w:rPr>
          <w:rFonts w:ascii="Arial" w:eastAsiaTheme="majorEastAsia" w:hAnsi="Arial" w:cs="Arial"/>
          <w:color w:val="000000" w:themeColor="text1"/>
          <w:sz w:val="22"/>
          <w:szCs w:val="22"/>
        </w:rPr>
        <w:t>73 % a hombres, lo que pone de manifiesto la intersección entre edad, género y desigualdad estructural.</w:t>
      </w:r>
    </w:p>
    <w:p w14:paraId="5111052D" w14:textId="77777777" w:rsidR="00163374" w:rsidRDefault="00163374" w:rsidP="00163374">
      <w:pPr>
        <w:pStyle w:val="Prrafodelista"/>
        <w:rPr>
          <w:color w:val="000000" w:themeColor="text1"/>
        </w:rPr>
      </w:pPr>
    </w:p>
    <w:p w14:paraId="5106C52E" w14:textId="3CED7334" w:rsidR="007A48AC" w:rsidRDefault="00163374" w:rsidP="33BE878A">
      <w:pPr>
        <w:pStyle w:val="Prrafodelista"/>
        <w:spacing w:after="120" w:line="259" w:lineRule="auto"/>
        <w:ind w:left="426"/>
        <w:rPr>
          <w:rFonts w:ascii="Arial" w:eastAsiaTheme="majorEastAsia" w:hAnsi="Arial" w:cs="Arial"/>
          <w:color w:val="000000" w:themeColor="text1"/>
          <w:sz w:val="22"/>
          <w:szCs w:val="22"/>
        </w:rPr>
      </w:pPr>
      <w:r w:rsidRPr="33BE878A">
        <w:rPr>
          <w:rFonts w:ascii="Arial" w:eastAsiaTheme="majorEastAsia" w:hAnsi="Arial" w:cs="Arial"/>
          <w:color w:val="000000" w:themeColor="text1"/>
          <w:sz w:val="22"/>
          <w:szCs w:val="22"/>
        </w:rPr>
        <w:t>Este incremento puede reflejar tanto una mayor disposición a la denuncia como un agravamiento de las violencias, en un contexto de debilitamiento de redes familiares y precarización del cuidado. A ello se suma el abandono como forma extrema de violencia: mientras en 2020 se registraron 42 casos, en 2022 fueron 40, en 2024 la cifra se elevó a 137. No obstante, se presume un alto subregistro, especialmente en contextos de dependencia funcional, ruralidad o aislamiento social, donde las condiciones para denunciar son mínimas o inexistentes.</w:t>
      </w:r>
    </w:p>
    <w:p w14:paraId="63E58416" w14:textId="6E8C32B7" w:rsidR="33BE878A" w:rsidRDefault="33BE878A" w:rsidP="33BE878A">
      <w:pPr>
        <w:pStyle w:val="Prrafodelista"/>
        <w:spacing w:after="120" w:line="259" w:lineRule="auto"/>
        <w:ind w:left="426"/>
        <w:rPr>
          <w:rFonts w:ascii="Arial" w:eastAsiaTheme="majorEastAsia" w:hAnsi="Arial" w:cs="Arial"/>
          <w:color w:val="000000" w:themeColor="text1"/>
          <w:sz w:val="22"/>
          <w:szCs w:val="22"/>
        </w:rPr>
      </w:pPr>
    </w:p>
    <w:p w14:paraId="746A4981" w14:textId="2715A905" w:rsidR="00BA33BF" w:rsidRDefault="00872830" w:rsidP="33BE878A">
      <w:pPr>
        <w:pStyle w:val="Prrafodelista"/>
        <w:spacing w:after="120" w:line="259" w:lineRule="auto"/>
        <w:ind w:left="426"/>
        <w:rPr>
          <w:rFonts w:ascii="Arial" w:eastAsiaTheme="majorEastAsia" w:hAnsi="Arial" w:cs="Arial"/>
          <w:color w:val="000000" w:themeColor="text1"/>
          <w:sz w:val="22"/>
          <w:szCs w:val="22"/>
        </w:rPr>
      </w:pPr>
      <w:r w:rsidRPr="33BE878A">
        <w:rPr>
          <w:rFonts w:ascii="Arial" w:eastAsiaTheme="majorEastAsia" w:hAnsi="Arial" w:cs="Arial"/>
          <w:color w:val="000000" w:themeColor="text1"/>
          <w:sz w:val="22"/>
          <w:szCs w:val="22"/>
        </w:rPr>
        <w:t>De acuerdo con el</w:t>
      </w:r>
      <w:r w:rsidR="00BA33BF" w:rsidRPr="33BE878A">
        <w:rPr>
          <w:rFonts w:ascii="Arial" w:eastAsiaTheme="majorEastAsia" w:hAnsi="Arial" w:cs="Arial"/>
          <w:color w:val="000000" w:themeColor="text1"/>
          <w:sz w:val="22"/>
          <w:szCs w:val="22"/>
        </w:rPr>
        <w:t xml:space="preserve"> boletín del Instituto de Medicina Legal</w:t>
      </w:r>
      <w:r w:rsidR="00281F7E" w:rsidRPr="33BE878A">
        <w:rPr>
          <w:rStyle w:val="Refdenotaalpie"/>
          <w:rFonts w:eastAsiaTheme="majorEastAsia" w:cs="Arial"/>
          <w:color w:val="000000" w:themeColor="text1"/>
        </w:rPr>
        <w:footnoteReference w:id="7"/>
      </w:r>
      <w:r w:rsidR="00BA33BF" w:rsidRPr="33BE878A">
        <w:rPr>
          <w:rFonts w:ascii="Arial" w:eastAsiaTheme="majorEastAsia" w:hAnsi="Arial" w:cs="Arial"/>
          <w:color w:val="000000" w:themeColor="text1"/>
          <w:sz w:val="22"/>
          <w:szCs w:val="22"/>
        </w:rPr>
        <w:t xml:space="preserve"> se presentaron </w:t>
      </w:r>
      <w:r w:rsidR="00800FC2" w:rsidRPr="33BE878A">
        <w:rPr>
          <w:rFonts w:ascii="Arial" w:eastAsiaTheme="majorEastAsia" w:hAnsi="Arial" w:cs="Arial"/>
          <w:color w:val="000000" w:themeColor="text1"/>
          <w:sz w:val="22"/>
          <w:szCs w:val="22"/>
        </w:rPr>
        <w:t xml:space="preserve">546 muertes violentas </w:t>
      </w:r>
      <w:r w:rsidR="418F256A" w:rsidRPr="41F71D56">
        <w:rPr>
          <w:rFonts w:ascii="Arial" w:eastAsiaTheme="majorEastAsia" w:hAnsi="Arial" w:cs="Arial"/>
          <w:color w:val="000000" w:themeColor="text1"/>
          <w:sz w:val="22"/>
          <w:szCs w:val="22"/>
        </w:rPr>
        <w:t xml:space="preserve">en </w:t>
      </w:r>
      <w:r w:rsidR="00800FC2" w:rsidRPr="33BE878A">
        <w:rPr>
          <w:rFonts w:ascii="Arial" w:eastAsiaTheme="majorEastAsia" w:hAnsi="Arial" w:cs="Arial"/>
          <w:color w:val="000000" w:themeColor="text1"/>
          <w:sz w:val="22"/>
          <w:szCs w:val="22"/>
        </w:rPr>
        <w:t>personas mayores</w:t>
      </w:r>
      <w:r w:rsidR="000E6A9D" w:rsidRPr="33BE878A">
        <w:rPr>
          <w:rFonts w:ascii="Arial" w:eastAsiaTheme="majorEastAsia" w:hAnsi="Arial" w:cs="Arial"/>
          <w:color w:val="000000" w:themeColor="text1"/>
          <w:sz w:val="22"/>
          <w:szCs w:val="22"/>
        </w:rPr>
        <w:t xml:space="preserve"> durante el año 2024, </w:t>
      </w:r>
      <w:r w:rsidR="00E9249D" w:rsidRPr="33BE878A">
        <w:rPr>
          <w:rFonts w:ascii="Arial" w:eastAsiaTheme="majorEastAsia" w:hAnsi="Arial" w:cs="Arial"/>
          <w:color w:val="000000" w:themeColor="text1"/>
          <w:sz w:val="22"/>
          <w:szCs w:val="22"/>
        </w:rPr>
        <w:t xml:space="preserve">y 2739 </w:t>
      </w:r>
      <w:r w:rsidR="000627CC" w:rsidRPr="33BE878A">
        <w:rPr>
          <w:rFonts w:ascii="Arial" w:eastAsiaTheme="majorEastAsia" w:hAnsi="Arial" w:cs="Arial"/>
          <w:color w:val="000000" w:themeColor="text1"/>
          <w:sz w:val="22"/>
          <w:szCs w:val="22"/>
        </w:rPr>
        <w:t>lesiones no fatales</w:t>
      </w:r>
      <w:r w:rsidR="00281F7E" w:rsidRPr="33BE878A">
        <w:rPr>
          <w:rFonts w:ascii="Arial" w:eastAsiaTheme="majorEastAsia" w:hAnsi="Arial" w:cs="Arial"/>
          <w:color w:val="000000" w:themeColor="text1"/>
          <w:sz w:val="22"/>
          <w:szCs w:val="22"/>
        </w:rPr>
        <w:t>.</w:t>
      </w:r>
      <w:r w:rsidR="000627CC" w:rsidRPr="33BE878A">
        <w:rPr>
          <w:rFonts w:ascii="Arial" w:eastAsiaTheme="majorEastAsia" w:hAnsi="Arial" w:cs="Arial"/>
          <w:color w:val="000000" w:themeColor="text1"/>
          <w:sz w:val="22"/>
          <w:szCs w:val="22"/>
        </w:rPr>
        <w:t xml:space="preserve"> </w:t>
      </w:r>
    </w:p>
    <w:p w14:paraId="37A66660" w14:textId="2F62E7A7" w:rsidR="33BE878A" w:rsidRDefault="33BE878A" w:rsidP="33BE878A">
      <w:pPr>
        <w:pStyle w:val="Prrafodelista"/>
        <w:spacing w:after="120" w:line="259" w:lineRule="auto"/>
        <w:ind w:left="426"/>
        <w:rPr>
          <w:rFonts w:ascii="Arial" w:eastAsiaTheme="majorEastAsia" w:hAnsi="Arial" w:cs="Arial"/>
          <w:color w:val="000000" w:themeColor="text1"/>
          <w:sz w:val="22"/>
          <w:szCs w:val="22"/>
        </w:rPr>
      </w:pPr>
    </w:p>
    <w:p w14:paraId="3788BDA9" w14:textId="4E815C8F" w:rsidR="4A4ACA50" w:rsidRDefault="4A4ACA50" w:rsidP="41F71D56">
      <w:pPr>
        <w:pStyle w:val="Prrafodelista"/>
        <w:spacing w:after="120" w:line="259" w:lineRule="auto"/>
        <w:ind w:left="426"/>
        <w:rPr>
          <w:rFonts w:ascii="Arial" w:eastAsiaTheme="majorEastAsia" w:hAnsi="Arial" w:cs="Arial"/>
          <w:color w:val="000000" w:themeColor="text1"/>
          <w:sz w:val="22"/>
          <w:szCs w:val="22"/>
        </w:rPr>
      </w:pPr>
      <w:r w:rsidRPr="41F71D56">
        <w:rPr>
          <w:rFonts w:ascii="Arial" w:eastAsiaTheme="majorEastAsia" w:hAnsi="Arial" w:cs="Arial"/>
          <w:color w:val="000000" w:themeColor="text1"/>
          <w:sz w:val="22"/>
          <w:szCs w:val="22"/>
        </w:rPr>
        <w:t>Estas cifras subrayan la urgencia de integrar estrategias preventivas y de protección en la nueva política, enfocadas tanto en el entorno familiar como en la capacidad institucional para prevenir, detectar, atender y sancionar el maltrato</w:t>
      </w:r>
      <w:r w:rsidR="2637C35D" w:rsidRPr="41F71D56">
        <w:rPr>
          <w:rFonts w:ascii="Arial" w:eastAsiaTheme="majorEastAsia" w:hAnsi="Arial" w:cs="Arial"/>
          <w:color w:val="000000" w:themeColor="text1"/>
          <w:sz w:val="22"/>
          <w:szCs w:val="22"/>
        </w:rPr>
        <w:t xml:space="preserve"> y las diferentes formas de violencia.</w:t>
      </w:r>
    </w:p>
    <w:p w14:paraId="0C61D629" w14:textId="4DE8CDD1" w:rsidR="41F71D56" w:rsidRDefault="41F71D56" w:rsidP="41F71D56">
      <w:pPr>
        <w:pStyle w:val="Prrafodelista"/>
        <w:spacing w:after="120" w:line="259" w:lineRule="auto"/>
        <w:ind w:left="426"/>
        <w:rPr>
          <w:rFonts w:ascii="Arial" w:eastAsiaTheme="majorEastAsia" w:hAnsi="Arial" w:cs="Arial"/>
          <w:color w:val="000000" w:themeColor="text1"/>
          <w:sz w:val="22"/>
          <w:szCs w:val="22"/>
        </w:rPr>
      </w:pPr>
    </w:p>
    <w:p w14:paraId="073A9A5A" w14:textId="3C7C997E" w:rsidR="18FD157A" w:rsidRDefault="18FD157A" w:rsidP="41F71D56">
      <w:pPr>
        <w:pStyle w:val="Prrafodelista"/>
        <w:spacing w:after="120" w:line="259" w:lineRule="auto"/>
        <w:ind w:left="426"/>
        <w:rPr>
          <w:rFonts w:ascii="Arial" w:eastAsiaTheme="majorEastAsia" w:hAnsi="Arial" w:cs="Arial"/>
          <w:color w:val="000000" w:themeColor="text1"/>
          <w:sz w:val="22"/>
          <w:szCs w:val="22"/>
        </w:rPr>
      </w:pPr>
      <w:r w:rsidRPr="41F71D56">
        <w:rPr>
          <w:rFonts w:ascii="Arial" w:eastAsiaTheme="majorEastAsia" w:hAnsi="Arial" w:cs="Arial"/>
          <w:color w:val="000000" w:themeColor="text1"/>
          <w:sz w:val="22"/>
          <w:szCs w:val="22"/>
        </w:rPr>
        <w:t xml:space="preserve">Otra manifestación de violencia es el edadismo. Un </w:t>
      </w:r>
      <w:r w:rsidR="0AA0F3EB" w:rsidRPr="41F71D56">
        <w:rPr>
          <w:rFonts w:ascii="Arial" w:eastAsiaTheme="majorEastAsia" w:hAnsi="Arial" w:cs="Arial"/>
          <w:color w:val="000000" w:themeColor="text1"/>
          <w:sz w:val="22"/>
          <w:szCs w:val="22"/>
        </w:rPr>
        <w:t xml:space="preserve">informe de la Organización de </w:t>
      </w:r>
      <w:r w:rsidR="2A0A80CF" w:rsidRPr="41F71D56">
        <w:rPr>
          <w:rFonts w:ascii="Arial" w:eastAsiaTheme="majorEastAsia" w:hAnsi="Arial" w:cs="Arial"/>
          <w:color w:val="000000" w:themeColor="text1"/>
          <w:sz w:val="22"/>
          <w:szCs w:val="22"/>
        </w:rPr>
        <w:t>Naciones</w:t>
      </w:r>
      <w:r w:rsidR="0AA0F3EB" w:rsidRPr="41F71D56">
        <w:rPr>
          <w:rFonts w:ascii="Arial" w:eastAsiaTheme="majorEastAsia" w:hAnsi="Arial" w:cs="Arial"/>
          <w:color w:val="000000" w:themeColor="text1"/>
          <w:sz w:val="22"/>
          <w:szCs w:val="22"/>
        </w:rPr>
        <w:t xml:space="preserve"> Unidas</w:t>
      </w:r>
      <w:r w:rsidR="05BEDA83" w:rsidRPr="41F71D56">
        <w:rPr>
          <w:rFonts w:ascii="Arial" w:eastAsiaTheme="majorEastAsia" w:hAnsi="Arial" w:cs="Arial"/>
          <w:color w:val="000000" w:themeColor="text1"/>
          <w:sz w:val="22"/>
          <w:szCs w:val="22"/>
        </w:rPr>
        <w:t xml:space="preserve"> (</w:t>
      </w:r>
      <w:r w:rsidR="0AA0F3EB" w:rsidRPr="41F71D56">
        <w:rPr>
          <w:rFonts w:ascii="Arial" w:eastAsiaTheme="majorEastAsia" w:hAnsi="Arial" w:cs="Arial"/>
          <w:color w:val="000000" w:themeColor="text1"/>
          <w:sz w:val="22"/>
          <w:szCs w:val="22"/>
        </w:rPr>
        <w:t>ONU</w:t>
      </w:r>
      <w:r w:rsidR="17524019" w:rsidRPr="41F71D56">
        <w:rPr>
          <w:rFonts w:ascii="Arial" w:eastAsiaTheme="majorEastAsia" w:hAnsi="Arial" w:cs="Arial"/>
          <w:color w:val="000000" w:themeColor="text1"/>
          <w:sz w:val="22"/>
          <w:szCs w:val="22"/>
        </w:rPr>
        <w:t>)</w:t>
      </w:r>
      <w:r w:rsidR="0AA0F3EB" w:rsidRPr="41F71D56">
        <w:rPr>
          <w:rFonts w:ascii="Arial" w:eastAsiaTheme="majorEastAsia" w:hAnsi="Arial" w:cs="Arial"/>
          <w:color w:val="000000" w:themeColor="text1"/>
          <w:sz w:val="22"/>
          <w:szCs w:val="22"/>
        </w:rPr>
        <w:t xml:space="preserve"> se calcula que 1 de cada 2 personas en el mundo tiene actitudes edadistas</w:t>
      </w:r>
      <w:r w:rsidR="7FC23D64" w:rsidRPr="41F71D56">
        <w:rPr>
          <w:rFonts w:ascii="Arial" w:eastAsiaTheme="majorEastAsia" w:hAnsi="Arial" w:cs="Arial"/>
          <w:color w:val="000000" w:themeColor="text1"/>
          <w:sz w:val="22"/>
          <w:szCs w:val="22"/>
        </w:rPr>
        <w:t xml:space="preserve">. </w:t>
      </w:r>
      <w:r w:rsidR="6AF67E99" w:rsidRPr="41F71D56">
        <w:rPr>
          <w:rFonts w:ascii="Arial" w:eastAsiaTheme="majorEastAsia" w:hAnsi="Arial" w:cs="Arial"/>
          <w:color w:val="000000" w:themeColor="text1"/>
          <w:sz w:val="22"/>
          <w:szCs w:val="22"/>
        </w:rPr>
        <w:t>El edadismo tiene consecuencias graves y amplias para la salud y el bienestar de las personas. Entre las personas mayores, el edadismo se asocia con una peor salud física y mental, un mayor aislamiento social</w:t>
      </w:r>
      <w:r w:rsidR="629DBE7F" w:rsidRPr="41F71D56">
        <w:rPr>
          <w:rFonts w:ascii="Arial" w:eastAsiaTheme="majorEastAsia" w:hAnsi="Arial" w:cs="Arial"/>
          <w:color w:val="000000" w:themeColor="text1"/>
          <w:sz w:val="22"/>
          <w:szCs w:val="22"/>
        </w:rPr>
        <w:t xml:space="preserve">, </w:t>
      </w:r>
      <w:r w:rsidR="6AF67E99" w:rsidRPr="41F71D56">
        <w:rPr>
          <w:rFonts w:ascii="Arial" w:eastAsiaTheme="majorEastAsia" w:hAnsi="Arial" w:cs="Arial"/>
          <w:color w:val="000000" w:themeColor="text1"/>
          <w:sz w:val="22"/>
          <w:szCs w:val="22"/>
        </w:rPr>
        <w:t>soledad, inseguridad financiera, menor calidad de vida y mayores tasas de muertes prematuras</w:t>
      </w:r>
      <w:r w:rsidR="6AF67E99" w:rsidRPr="41F71D56">
        <w:rPr>
          <w:rFonts w:ascii="Arial" w:eastAsia="Arial" w:hAnsi="Arial" w:cs="Arial"/>
          <w:color w:val="000000" w:themeColor="text1"/>
          <w:sz w:val="16"/>
          <w:szCs w:val="16"/>
        </w:rPr>
        <w:t xml:space="preserve"> 8</w:t>
      </w:r>
      <w:r w:rsidR="6AF67E99" w:rsidRPr="41F71D56">
        <w:rPr>
          <w:rFonts w:ascii="Arial" w:eastAsiaTheme="majorEastAsia" w:hAnsi="Arial" w:cs="Arial"/>
          <w:color w:val="000000" w:themeColor="text1"/>
          <w:sz w:val="22"/>
          <w:szCs w:val="22"/>
        </w:rPr>
        <w:t>.</w:t>
      </w:r>
    </w:p>
    <w:p w14:paraId="1EAC0AE1" w14:textId="20C16EA9" w:rsidR="41F71D56" w:rsidRDefault="41F71D56" w:rsidP="41F71D56">
      <w:pPr>
        <w:pStyle w:val="Prrafodelista"/>
        <w:spacing w:after="120" w:line="259" w:lineRule="auto"/>
        <w:ind w:left="426"/>
        <w:rPr>
          <w:rFonts w:ascii="Arial" w:eastAsiaTheme="majorEastAsia" w:hAnsi="Arial" w:cs="Arial"/>
          <w:color w:val="000000" w:themeColor="text1"/>
          <w:sz w:val="22"/>
          <w:szCs w:val="22"/>
        </w:rPr>
      </w:pPr>
    </w:p>
    <w:p w14:paraId="017AA7EE" w14:textId="588CDE98" w:rsidR="0B5E9D1B" w:rsidRDefault="0B5E9D1B" w:rsidP="41F71D56">
      <w:pPr>
        <w:pStyle w:val="Prrafodelista"/>
        <w:numPr>
          <w:ilvl w:val="0"/>
          <w:numId w:val="25"/>
        </w:numPr>
        <w:spacing w:after="120" w:line="259" w:lineRule="auto"/>
        <w:ind w:left="426"/>
        <w:rPr>
          <w:rFonts w:ascii="Arial" w:eastAsiaTheme="majorEastAsia" w:hAnsi="Arial" w:cs="Arial"/>
          <w:color w:val="000000" w:themeColor="text1"/>
          <w:sz w:val="22"/>
          <w:szCs w:val="22"/>
        </w:rPr>
      </w:pPr>
      <w:r w:rsidRPr="41F71D56">
        <w:rPr>
          <w:rFonts w:ascii="Arial" w:eastAsiaTheme="majorEastAsia" w:hAnsi="Arial" w:cs="Arial"/>
          <w:b/>
          <w:bCs/>
          <w:color w:val="000000" w:themeColor="text1"/>
          <w:sz w:val="22"/>
          <w:szCs w:val="22"/>
        </w:rPr>
        <w:t>Soledad no deseada</w:t>
      </w:r>
      <w:r w:rsidR="683676D3" w:rsidRPr="41F71D56">
        <w:rPr>
          <w:rFonts w:ascii="Arial" w:eastAsiaTheme="majorEastAsia" w:hAnsi="Arial" w:cs="Arial"/>
          <w:color w:val="000000" w:themeColor="text1"/>
          <w:sz w:val="22"/>
          <w:szCs w:val="22"/>
        </w:rPr>
        <w:t xml:space="preserve"> La encuesta SABE (Salud, Bienestar y Envejecimiento) en Bogotá reveló que un porcentaje significativo de personas mayores vive solo y experimenta soledad. Un 11% de los mayores de 60 años en Bogotá viven solos, mientras que un 40.1% cohabitan con familiares que no son sus hijos. Además, la soledad en personas mayores es un problema creciente, con un 40% experimentando soledad debido a abandono, duelo o problemas de adaptación</w:t>
      </w:r>
      <w:r w:rsidRPr="41F71D56">
        <w:rPr>
          <w:rStyle w:val="Refdenotaalpie"/>
          <w:rFonts w:ascii="Arial" w:eastAsiaTheme="majorEastAsia" w:hAnsi="Arial" w:cs="Arial"/>
          <w:color w:val="000000" w:themeColor="text1"/>
          <w:sz w:val="22"/>
          <w:szCs w:val="22"/>
        </w:rPr>
        <w:footnoteReference w:id="8"/>
      </w:r>
      <w:r w:rsidR="683676D3" w:rsidRPr="41F71D56">
        <w:rPr>
          <w:rFonts w:ascii="Arial" w:eastAsiaTheme="majorEastAsia" w:hAnsi="Arial" w:cs="Arial"/>
          <w:color w:val="000000" w:themeColor="text1"/>
          <w:sz w:val="22"/>
          <w:szCs w:val="22"/>
        </w:rPr>
        <w:t>.</w:t>
      </w:r>
      <w:r w:rsidR="65404C31" w:rsidRPr="41F71D56">
        <w:rPr>
          <w:rFonts w:ascii="Arial" w:eastAsiaTheme="majorEastAsia" w:hAnsi="Arial" w:cs="Arial"/>
          <w:color w:val="000000" w:themeColor="text1"/>
          <w:sz w:val="22"/>
          <w:szCs w:val="22"/>
        </w:rPr>
        <w:t xml:space="preserve"> La OMS reconoce la soledad como un problema de salud pública que conlleva a consecuencias en la salud física y mental y </w:t>
      </w:r>
      <w:r w:rsidR="3ABCE916" w:rsidRPr="41F71D56">
        <w:rPr>
          <w:rFonts w:ascii="Arial" w:eastAsiaTheme="majorEastAsia" w:hAnsi="Arial" w:cs="Arial"/>
          <w:color w:val="000000" w:themeColor="text1"/>
          <w:sz w:val="22"/>
          <w:szCs w:val="22"/>
        </w:rPr>
        <w:t>una</w:t>
      </w:r>
      <w:r w:rsidR="65404C31" w:rsidRPr="41F71D56">
        <w:rPr>
          <w:rFonts w:ascii="Arial" w:eastAsiaTheme="majorEastAsia" w:hAnsi="Arial" w:cs="Arial"/>
          <w:color w:val="000000" w:themeColor="text1"/>
          <w:sz w:val="22"/>
          <w:szCs w:val="22"/>
        </w:rPr>
        <w:t xml:space="preserve"> m</w:t>
      </w:r>
      <w:r w:rsidR="40E551E7" w:rsidRPr="41F71D56">
        <w:rPr>
          <w:rFonts w:ascii="Arial" w:eastAsiaTheme="majorEastAsia" w:hAnsi="Arial" w:cs="Arial"/>
          <w:color w:val="000000" w:themeColor="text1"/>
          <w:sz w:val="22"/>
          <w:szCs w:val="22"/>
        </w:rPr>
        <w:t>ortalidad</w:t>
      </w:r>
      <w:r w:rsidR="5C0B8CCC" w:rsidRPr="41F71D56">
        <w:rPr>
          <w:rFonts w:ascii="Arial" w:eastAsiaTheme="majorEastAsia" w:hAnsi="Arial" w:cs="Arial"/>
          <w:color w:val="000000" w:themeColor="text1"/>
          <w:sz w:val="22"/>
          <w:szCs w:val="22"/>
        </w:rPr>
        <w:t xml:space="preserve"> temprana</w:t>
      </w:r>
      <w:r w:rsidR="0F414AE4" w:rsidRPr="41F71D56">
        <w:rPr>
          <w:rFonts w:ascii="Arial" w:eastAsiaTheme="majorEastAsia" w:hAnsi="Arial" w:cs="Arial"/>
          <w:color w:val="000000" w:themeColor="text1"/>
          <w:sz w:val="22"/>
          <w:szCs w:val="22"/>
        </w:rPr>
        <w:t>.</w:t>
      </w:r>
    </w:p>
    <w:p w14:paraId="56CA4786" w14:textId="1366B5E4" w:rsidR="41F71D56" w:rsidRDefault="41F71D56" w:rsidP="41F71D56">
      <w:pPr>
        <w:pStyle w:val="Prrafodelista"/>
        <w:spacing w:after="120" w:line="259" w:lineRule="auto"/>
        <w:ind w:left="426"/>
        <w:rPr>
          <w:rFonts w:ascii="Arial" w:eastAsiaTheme="majorEastAsia" w:hAnsi="Arial" w:cs="Arial"/>
          <w:color w:val="000000" w:themeColor="text1"/>
          <w:sz w:val="22"/>
          <w:szCs w:val="22"/>
        </w:rPr>
      </w:pPr>
    </w:p>
    <w:p w14:paraId="4DC1801F" w14:textId="77777777" w:rsidR="00163374" w:rsidRDefault="00163374" w:rsidP="00163374">
      <w:pPr>
        <w:pStyle w:val="Prrafodelista"/>
        <w:spacing w:after="120" w:line="259" w:lineRule="auto"/>
        <w:ind w:left="426" w:hanging="360"/>
        <w:rPr>
          <w:rFonts w:ascii="Arial" w:eastAsiaTheme="majorEastAsia" w:hAnsi="Arial" w:cs="Arial"/>
          <w:color w:val="000000" w:themeColor="text1"/>
          <w:sz w:val="22"/>
          <w:szCs w:val="22"/>
        </w:rPr>
      </w:pPr>
      <w:r w:rsidRPr="1CA20107">
        <w:rPr>
          <w:rFonts w:ascii="Arial" w:eastAsiaTheme="majorEastAsia" w:hAnsi="Arial" w:cs="Arial"/>
          <w:color w:val="000000" w:themeColor="text1"/>
          <w:sz w:val="22"/>
          <w:szCs w:val="22"/>
        </w:rPr>
        <w:t xml:space="preserve"> </w:t>
      </w:r>
    </w:p>
    <w:p w14:paraId="6A99E218" w14:textId="6E107B5E" w:rsidR="00163374" w:rsidRDefault="70C44506" w:rsidP="33BE878A">
      <w:pPr>
        <w:pStyle w:val="Prrafodelista"/>
        <w:numPr>
          <w:ilvl w:val="0"/>
          <w:numId w:val="25"/>
        </w:numPr>
        <w:spacing w:after="120"/>
        <w:ind w:left="426"/>
        <w:rPr>
          <w:rFonts w:ascii="Arial" w:eastAsiaTheme="majorEastAsia" w:hAnsi="Arial" w:cs="Arial"/>
          <w:color w:val="000000" w:themeColor="text1"/>
          <w:sz w:val="22"/>
          <w:szCs w:val="22"/>
        </w:rPr>
      </w:pPr>
      <w:r w:rsidRPr="33BE878A">
        <w:rPr>
          <w:rFonts w:ascii="Arial" w:eastAsiaTheme="majorEastAsia" w:hAnsi="Arial" w:cs="Arial"/>
          <w:b/>
          <w:bCs/>
          <w:color w:val="000000" w:themeColor="text1"/>
          <w:sz w:val="22"/>
          <w:szCs w:val="22"/>
        </w:rPr>
        <w:t>Aumento de las p</w:t>
      </w:r>
      <w:r w:rsidR="00163374" w:rsidRPr="33BE878A">
        <w:rPr>
          <w:rFonts w:ascii="Arial" w:eastAsiaTheme="majorEastAsia" w:hAnsi="Arial" w:cs="Arial"/>
          <w:b/>
          <w:bCs/>
          <w:color w:val="000000" w:themeColor="text1"/>
          <w:sz w:val="22"/>
          <w:szCs w:val="22"/>
        </w:rPr>
        <w:t>ersonas mayores en situación de calle</w:t>
      </w:r>
      <w:r w:rsidR="00163374" w:rsidRPr="33BE878A">
        <w:rPr>
          <w:rFonts w:ascii="Arial" w:eastAsiaTheme="majorEastAsia" w:hAnsi="Arial" w:cs="Arial"/>
          <w:color w:val="000000" w:themeColor="text1"/>
          <w:sz w:val="22"/>
          <w:szCs w:val="22"/>
        </w:rPr>
        <w:t>: La presencia de personas mayores en situación de calle constituye una manifestación extrema de exclusión social, vinculada a la fragilidad de las redes familiares, el debilitamiento de los vínculos comunitarios, el abandono institucional y la ausencia de un sistema de cuidados de largo plazo con enfoque diferencial y de derechos. De acuerdo con el Censo de Habitabilidad en Calle realizado en Bogotá en 2017, se identificaron 628 personas mayores de 60 años en esta situación. En el levantamiento más reciente</w:t>
      </w:r>
      <w:r w:rsidR="00163374" w:rsidRPr="33BE878A">
        <w:rPr>
          <w:rStyle w:val="Refdenotaalpie"/>
          <w:rFonts w:ascii="Arial" w:eastAsiaTheme="majorEastAsia" w:hAnsi="Arial" w:cs="Arial"/>
          <w:color w:val="000000" w:themeColor="text1"/>
          <w:sz w:val="22"/>
          <w:szCs w:val="22"/>
        </w:rPr>
        <w:footnoteReference w:id="9"/>
      </w:r>
      <w:r w:rsidR="00163374" w:rsidRPr="33BE878A">
        <w:rPr>
          <w:rFonts w:ascii="Arial" w:eastAsiaTheme="majorEastAsia" w:hAnsi="Arial" w:cs="Arial"/>
          <w:color w:val="000000" w:themeColor="text1"/>
          <w:sz w:val="22"/>
          <w:szCs w:val="22"/>
        </w:rPr>
        <w:t xml:space="preserve">, correspondiente al año 2024, esta cifra se incrementó a 1.165 personas, lo que representa un aumento del 85 % en un periodo de siete años. Este crecimiento sostenido evidencia un proceso de envejecimiento progresivo de la población habitante de calle. </w:t>
      </w:r>
    </w:p>
    <w:p w14:paraId="0EC04676" w14:textId="624D2E74" w:rsidR="41F71D56" w:rsidRDefault="41F71D56" w:rsidP="41F71D56">
      <w:pPr>
        <w:spacing w:after="120"/>
        <w:ind w:left="426"/>
        <w:rPr>
          <w:rFonts w:ascii="Arial" w:eastAsiaTheme="majorEastAsia" w:hAnsi="Arial" w:cs="Arial"/>
          <w:b/>
          <w:bCs/>
          <w:color w:val="000000" w:themeColor="text1"/>
          <w:sz w:val="22"/>
          <w:szCs w:val="22"/>
        </w:rPr>
      </w:pPr>
    </w:p>
    <w:p w14:paraId="5163D81B" w14:textId="585704D5" w:rsidR="00157932" w:rsidRPr="00ED7408" w:rsidRDefault="00157932" w:rsidP="41F71D56">
      <w:pPr>
        <w:spacing w:after="120"/>
        <w:rPr>
          <w:rFonts w:ascii="Arial" w:eastAsiaTheme="majorEastAsia" w:hAnsi="Arial" w:cs="Arial"/>
          <w:b/>
          <w:iCs/>
          <w:color w:val="000000" w:themeColor="text1"/>
          <w:sz w:val="22"/>
          <w:szCs w:val="22"/>
        </w:rPr>
      </w:pPr>
      <w:r w:rsidRPr="00ED7408">
        <w:rPr>
          <w:rFonts w:ascii="Arial" w:eastAsiaTheme="majorEastAsia" w:hAnsi="Arial" w:cs="Arial"/>
          <w:b/>
          <w:iCs/>
          <w:color w:val="000000" w:themeColor="text1"/>
          <w:sz w:val="22"/>
          <w:szCs w:val="22"/>
        </w:rPr>
        <w:t>La importancia de una nueva Política Pública Social para el Envejecimiento y la Vejez en Bogotá</w:t>
      </w:r>
    </w:p>
    <w:p w14:paraId="6B5C5046" w14:textId="77777777" w:rsidR="00B65572" w:rsidRDefault="00B65572" w:rsidP="41F71D56">
      <w:pPr>
        <w:spacing w:before="0" w:after="0" w:line="259" w:lineRule="auto"/>
        <w:rPr>
          <w:rFonts w:ascii="Arial" w:eastAsiaTheme="majorEastAsia" w:hAnsi="Arial" w:cs="Arial"/>
          <w:color w:val="000000" w:themeColor="text1"/>
          <w:sz w:val="22"/>
          <w:szCs w:val="22"/>
        </w:rPr>
      </w:pPr>
    </w:p>
    <w:p w14:paraId="0ACE2339" w14:textId="31FA5359" w:rsidR="00302CEB" w:rsidRPr="00B65572" w:rsidRDefault="00122CEB" w:rsidP="41F71D56">
      <w:pPr>
        <w:spacing w:before="0" w:after="0" w:line="259" w:lineRule="auto"/>
        <w:rPr>
          <w:rFonts w:ascii="Arial" w:eastAsiaTheme="majorEastAsia" w:hAnsi="Arial" w:cs="Arial"/>
          <w:color w:val="000000" w:themeColor="text1"/>
          <w:sz w:val="22"/>
          <w:szCs w:val="22"/>
        </w:rPr>
      </w:pPr>
      <w:r w:rsidRPr="41F71D56">
        <w:rPr>
          <w:rFonts w:ascii="Arial" w:eastAsiaTheme="majorEastAsia" w:hAnsi="Arial" w:cs="Arial"/>
          <w:color w:val="000000" w:themeColor="text1"/>
          <w:sz w:val="22"/>
          <w:szCs w:val="22"/>
        </w:rPr>
        <w:t xml:space="preserve">A lo largo de su implementación, la PPSEV posicionó el envejecimiento </w:t>
      </w:r>
      <w:r w:rsidR="76A62CBB" w:rsidRPr="41F71D56">
        <w:rPr>
          <w:rFonts w:ascii="Arial" w:eastAsiaTheme="majorEastAsia" w:hAnsi="Arial" w:cs="Arial"/>
          <w:color w:val="000000" w:themeColor="text1"/>
          <w:sz w:val="22"/>
          <w:szCs w:val="22"/>
        </w:rPr>
        <w:t>y vejez</w:t>
      </w:r>
      <w:r w:rsidRPr="41F71D56">
        <w:rPr>
          <w:rFonts w:ascii="Arial" w:eastAsiaTheme="majorEastAsia" w:hAnsi="Arial" w:cs="Arial"/>
          <w:color w:val="000000" w:themeColor="text1"/>
          <w:sz w:val="22"/>
          <w:szCs w:val="22"/>
        </w:rPr>
        <w:t xml:space="preserve"> como un asunto de interés público, promoviendo acciones sectoriales e intersectoriales orientadas al mejoramiento de la calidad de vida de las personas mayores</w:t>
      </w:r>
      <w:r w:rsidR="70260F94" w:rsidRPr="41F71D56">
        <w:rPr>
          <w:rFonts w:ascii="Arial" w:eastAsiaTheme="majorEastAsia" w:hAnsi="Arial" w:cs="Arial"/>
          <w:color w:val="000000" w:themeColor="text1"/>
          <w:sz w:val="22"/>
          <w:szCs w:val="22"/>
        </w:rPr>
        <w:t>. Durante</w:t>
      </w:r>
      <w:r w:rsidR="004805ED" w:rsidRPr="41F71D56">
        <w:rPr>
          <w:rFonts w:ascii="Arial" w:eastAsiaTheme="majorEastAsia" w:hAnsi="Arial" w:cs="Arial"/>
          <w:color w:val="000000" w:themeColor="text1"/>
          <w:sz w:val="22"/>
          <w:szCs w:val="22"/>
        </w:rPr>
        <w:t xml:space="preserve"> los </w:t>
      </w:r>
      <w:r w:rsidR="70260F94" w:rsidRPr="41F71D56">
        <w:rPr>
          <w:rFonts w:ascii="Arial" w:eastAsiaTheme="majorEastAsia" w:hAnsi="Arial" w:cs="Arial"/>
          <w:color w:val="000000" w:themeColor="text1"/>
          <w:sz w:val="22"/>
          <w:szCs w:val="22"/>
        </w:rPr>
        <w:t xml:space="preserve">15 años de permanencia de la política, los proyectos de inversión </w:t>
      </w:r>
      <w:r w:rsidR="0048FBE7" w:rsidRPr="41F71D56">
        <w:rPr>
          <w:rFonts w:ascii="Arial" w:eastAsiaTheme="majorEastAsia" w:hAnsi="Arial" w:cs="Arial"/>
          <w:color w:val="000000" w:themeColor="text1"/>
          <w:sz w:val="22"/>
          <w:szCs w:val="22"/>
        </w:rPr>
        <w:t xml:space="preserve">desarrollados evidencian una clara </w:t>
      </w:r>
      <w:r w:rsidR="0048FBE7" w:rsidRPr="00B65572">
        <w:rPr>
          <w:rFonts w:ascii="Arial" w:eastAsiaTheme="majorEastAsia" w:hAnsi="Arial" w:cs="Arial"/>
          <w:color w:val="000000" w:themeColor="text1"/>
          <w:sz w:val="22"/>
          <w:szCs w:val="22"/>
        </w:rPr>
        <w:lastRenderedPageBreak/>
        <w:t xml:space="preserve">voluntad institucional </w:t>
      </w:r>
      <w:r w:rsidR="30B5B23E" w:rsidRPr="00B65572">
        <w:rPr>
          <w:rFonts w:ascii="Arial" w:eastAsiaTheme="majorEastAsia" w:hAnsi="Arial" w:cs="Arial"/>
          <w:color w:val="000000" w:themeColor="text1"/>
          <w:sz w:val="22"/>
          <w:szCs w:val="22"/>
        </w:rPr>
        <w:t xml:space="preserve">que ha contribuido a aportar de </w:t>
      </w:r>
      <w:r w:rsidR="0DCA5F29" w:rsidRPr="00B65572">
        <w:rPr>
          <w:rFonts w:ascii="Arial" w:eastAsiaTheme="majorEastAsia" w:hAnsi="Arial" w:cs="Arial"/>
          <w:color w:val="000000" w:themeColor="text1"/>
          <w:sz w:val="22"/>
          <w:szCs w:val="22"/>
        </w:rPr>
        <w:t>maner</w:t>
      </w:r>
      <w:r w:rsidR="30B5B23E" w:rsidRPr="00B65572">
        <w:rPr>
          <w:rFonts w:ascii="Arial" w:eastAsiaTheme="majorEastAsia" w:hAnsi="Arial" w:cs="Arial"/>
          <w:color w:val="000000" w:themeColor="text1"/>
          <w:sz w:val="22"/>
          <w:szCs w:val="22"/>
        </w:rPr>
        <w:t>a tangible a</w:t>
      </w:r>
      <w:r w:rsidR="6BF9A0A7" w:rsidRPr="00B65572">
        <w:rPr>
          <w:rFonts w:ascii="Arial" w:eastAsiaTheme="majorEastAsia" w:hAnsi="Arial" w:cs="Arial"/>
          <w:color w:val="000000" w:themeColor="text1"/>
          <w:sz w:val="22"/>
          <w:szCs w:val="22"/>
        </w:rPr>
        <w:t xml:space="preserve"> la garantía, promoción, protección y restablecimiento de los derechos de las personas mayores.</w:t>
      </w:r>
    </w:p>
    <w:p w14:paraId="3953D5E9" w14:textId="2EC5369C" w:rsidR="00302CEB" w:rsidRPr="00B65572" w:rsidRDefault="00302CEB" w:rsidP="41F71D56">
      <w:pPr>
        <w:spacing w:before="0" w:after="0" w:line="259" w:lineRule="auto"/>
        <w:rPr>
          <w:rFonts w:ascii="Arial" w:eastAsiaTheme="majorEastAsia" w:hAnsi="Arial" w:cs="Arial"/>
          <w:color w:val="000000" w:themeColor="text1"/>
          <w:sz w:val="22"/>
          <w:szCs w:val="22"/>
        </w:rPr>
      </w:pPr>
    </w:p>
    <w:p w14:paraId="51404E9C" w14:textId="21E21FEF" w:rsidR="00302CEB" w:rsidRPr="00B65572" w:rsidRDefault="5DE9080F" w:rsidP="00302CEB">
      <w:pPr>
        <w:spacing w:after="120"/>
        <w:rPr>
          <w:rFonts w:ascii="Arial" w:eastAsiaTheme="majorEastAsia" w:hAnsi="Arial" w:cs="Arial"/>
          <w:color w:val="000000" w:themeColor="text1"/>
          <w:sz w:val="22"/>
          <w:szCs w:val="22"/>
        </w:rPr>
      </w:pPr>
      <w:r w:rsidRPr="00B65572">
        <w:rPr>
          <w:rFonts w:ascii="Arial" w:eastAsiaTheme="majorEastAsia" w:hAnsi="Arial" w:cs="Arial"/>
          <w:color w:val="000000" w:themeColor="text1"/>
          <w:sz w:val="22"/>
          <w:szCs w:val="22"/>
        </w:rPr>
        <w:t>Sin embargo,</w:t>
      </w:r>
      <w:r w:rsidR="79840E28" w:rsidRPr="00B65572">
        <w:rPr>
          <w:rFonts w:ascii="Arial" w:eastAsiaTheme="majorEastAsia" w:hAnsi="Arial" w:cs="Arial"/>
          <w:color w:val="000000" w:themeColor="text1"/>
          <w:sz w:val="22"/>
          <w:szCs w:val="22"/>
        </w:rPr>
        <w:t xml:space="preserve"> uno de los ejercicios </w:t>
      </w:r>
      <w:r w:rsidR="6B9BB04F" w:rsidRPr="00B65572">
        <w:rPr>
          <w:rFonts w:ascii="Arial" w:eastAsiaTheme="majorEastAsia" w:hAnsi="Arial" w:cs="Arial"/>
          <w:color w:val="000000" w:themeColor="text1"/>
          <w:sz w:val="22"/>
          <w:szCs w:val="22"/>
        </w:rPr>
        <w:t>relacionados</w:t>
      </w:r>
      <w:r w:rsidR="79840E28" w:rsidRPr="00B65572">
        <w:rPr>
          <w:rFonts w:ascii="Arial" w:eastAsiaTheme="majorEastAsia" w:hAnsi="Arial" w:cs="Arial"/>
          <w:color w:val="000000" w:themeColor="text1"/>
          <w:sz w:val="22"/>
          <w:szCs w:val="22"/>
        </w:rPr>
        <w:t xml:space="preserve"> con la</w:t>
      </w:r>
      <w:r w:rsidR="004805ED" w:rsidRPr="00B65572">
        <w:rPr>
          <w:rFonts w:ascii="Arial" w:eastAsiaTheme="majorEastAsia" w:hAnsi="Arial" w:cs="Arial"/>
          <w:color w:val="000000" w:themeColor="text1"/>
          <w:sz w:val="22"/>
          <w:szCs w:val="22"/>
        </w:rPr>
        <w:t xml:space="preserve"> evaluación participativa realizados en 2024, con actores institucionales y sociales, pusieron de manifiesto que, si bien la política cuenta con principios conceptuales sólidos, carece de una teoría de cambio explícita, lo que ha dificultado la medición rigurosa de sus impactos reales sobre la calidad de vida y el goce efectivo de los derechos de las personas mayores</w:t>
      </w:r>
      <w:r w:rsidR="00302CEB" w:rsidRPr="00B65572">
        <w:rPr>
          <w:rFonts w:ascii="Arial" w:eastAsiaTheme="majorEastAsia" w:hAnsi="Arial" w:cs="Arial"/>
          <w:color w:val="000000" w:themeColor="text1"/>
          <w:sz w:val="22"/>
          <w:szCs w:val="22"/>
        </w:rPr>
        <w:t xml:space="preserve">. </w:t>
      </w:r>
    </w:p>
    <w:p w14:paraId="1A68EF8A" w14:textId="30F880C5" w:rsidR="00302CEB" w:rsidRPr="00B65572" w:rsidRDefault="552536D8" w:rsidP="00302CEB">
      <w:pPr>
        <w:spacing w:after="120"/>
        <w:rPr>
          <w:rFonts w:ascii="Arial" w:eastAsiaTheme="majorEastAsia" w:hAnsi="Arial" w:cs="Arial"/>
          <w:color w:val="000000" w:themeColor="text1"/>
          <w:sz w:val="22"/>
          <w:szCs w:val="22"/>
        </w:rPr>
      </w:pPr>
      <w:r w:rsidRPr="00B65572">
        <w:rPr>
          <w:rFonts w:ascii="Arial" w:eastAsiaTheme="majorEastAsia" w:hAnsi="Arial" w:cs="Arial"/>
          <w:color w:val="000000" w:themeColor="text1"/>
          <w:sz w:val="22"/>
          <w:szCs w:val="22"/>
        </w:rPr>
        <w:t xml:space="preserve">Considerando </w:t>
      </w:r>
      <w:r w:rsidR="524913D3" w:rsidRPr="00B65572">
        <w:rPr>
          <w:rFonts w:ascii="Arial" w:eastAsiaTheme="majorEastAsia" w:hAnsi="Arial" w:cs="Arial"/>
          <w:color w:val="000000" w:themeColor="text1"/>
          <w:sz w:val="22"/>
          <w:szCs w:val="22"/>
        </w:rPr>
        <w:t>lo mencionado, l</w:t>
      </w:r>
      <w:r w:rsidR="00302CEB" w:rsidRPr="00B65572">
        <w:rPr>
          <w:rFonts w:ascii="Arial" w:eastAsiaTheme="majorEastAsia" w:hAnsi="Arial" w:cs="Arial"/>
          <w:color w:val="000000" w:themeColor="text1"/>
          <w:sz w:val="22"/>
          <w:szCs w:val="22"/>
        </w:rPr>
        <w:t>a persistencia de condiciones de vulnerabilidad económica, exclusión social, barreras en el acceso a derechos y diversas formas de violencia contra las personas mayores en Bogotá</w:t>
      </w:r>
      <w:r w:rsidR="7CED200D" w:rsidRPr="00B65572">
        <w:rPr>
          <w:rFonts w:ascii="Arial" w:eastAsiaTheme="majorEastAsia" w:hAnsi="Arial" w:cs="Arial"/>
          <w:color w:val="000000" w:themeColor="text1"/>
          <w:sz w:val="22"/>
          <w:szCs w:val="22"/>
        </w:rPr>
        <w:t>,</w:t>
      </w:r>
      <w:r w:rsidR="00302CEB" w:rsidRPr="00B65572">
        <w:rPr>
          <w:rFonts w:ascii="Arial" w:eastAsiaTheme="majorEastAsia" w:hAnsi="Arial" w:cs="Arial"/>
          <w:color w:val="000000" w:themeColor="text1"/>
          <w:sz w:val="22"/>
          <w:szCs w:val="22"/>
        </w:rPr>
        <w:t xml:space="preserve"> constituye un problema público de gran magnitud que exige una intervención decidida</w:t>
      </w:r>
      <w:r w:rsidR="301B2CCE" w:rsidRPr="00B65572">
        <w:rPr>
          <w:rFonts w:ascii="Arial" w:eastAsiaTheme="majorEastAsia" w:hAnsi="Arial" w:cs="Arial"/>
          <w:color w:val="000000" w:themeColor="text1"/>
          <w:sz w:val="22"/>
          <w:szCs w:val="22"/>
        </w:rPr>
        <w:t xml:space="preserve"> del Estado</w:t>
      </w:r>
      <w:r w:rsidR="00302CEB" w:rsidRPr="00B65572">
        <w:rPr>
          <w:rFonts w:ascii="Arial" w:eastAsiaTheme="majorEastAsia" w:hAnsi="Arial" w:cs="Arial"/>
          <w:color w:val="000000" w:themeColor="text1"/>
          <w:sz w:val="22"/>
          <w:szCs w:val="22"/>
        </w:rPr>
        <w:t>.</w:t>
      </w:r>
    </w:p>
    <w:p w14:paraId="069CD381" w14:textId="00595093" w:rsidR="004805ED" w:rsidRPr="00B65572" w:rsidRDefault="6C9ED5F2" w:rsidP="00302CEB">
      <w:pPr>
        <w:spacing w:after="120"/>
        <w:rPr>
          <w:rFonts w:ascii="Arial" w:eastAsiaTheme="majorEastAsia" w:hAnsi="Arial" w:cs="Arial"/>
          <w:color w:val="000000" w:themeColor="text1"/>
          <w:sz w:val="22"/>
          <w:szCs w:val="22"/>
        </w:rPr>
      </w:pPr>
      <w:r w:rsidRPr="00B65572">
        <w:rPr>
          <w:rFonts w:ascii="Arial" w:eastAsiaTheme="majorEastAsia" w:hAnsi="Arial" w:cs="Arial"/>
          <w:color w:val="000000" w:themeColor="text1"/>
          <w:sz w:val="22"/>
          <w:szCs w:val="22"/>
        </w:rPr>
        <w:t>Así mismo, l</w:t>
      </w:r>
      <w:r w:rsidR="00302CEB" w:rsidRPr="00B65572">
        <w:rPr>
          <w:rFonts w:ascii="Arial" w:eastAsiaTheme="majorEastAsia" w:hAnsi="Arial" w:cs="Arial"/>
          <w:color w:val="000000" w:themeColor="text1"/>
          <w:sz w:val="22"/>
          <w:szCs w:val="22"/>
        </w:rPr>
        <w:t>a inseguridad económica, la insuficiencia de mecanismos de protección, la limitada oferta de servicios de cuidado, la discriminación por edad y la fragilidad de las redes de apoyo profundizan las desigualdades existentes y restringen el ejercicio pleno de los derechos, afectando de manera directa la autonomía y la calidad de vida de las personas mayores</w:t>
      </w:r>
      <w:r w:rsidR="45397270" w:rsidRPr="00B65572">
        <w:rPr>
          <w:rFonts w:ascii="Arial" w:eastAsiaTheme="majorEastAsia" w:hAnsi="Arial" w:cs="Arial"/>
          <w:color w:val="000000" w:themeColor="text1"/>
          <w:sz w:val="22"/>
          <w:szCs w:val="22"/>
        </w:rPr>
        <w:t>.</w:t>
      </w:r>
    </w:p>
    <w:p w14:paraId="0B3B9705" w14:textId="0893E7C5" w:rsidR="42C29F30" w:rsidRPr="00B65572" w:rsidRDefault="42C29F30" w:rsidP="41F71D56">
      <w:pPr>
        <w:spacing w:before="0" w:after="0" w:line="259" w:lineRule="auto"/>
        <w:rPr>
          <w:rFonts w:ascii="Arial" w:eastAsiaTheme="majorEastAsia" w:hAnsi="Arial" w:cs="Arial"/>
          <w:color w:val="000000" w:themeColor="text1"/>
          <w:sz w:val="22"/>
          <w:szCs w:val="22"/>
        </w:rPr>
      </w:pPr>
      <w:r w:rsidRPr="00B65572">
        <w:rPr>
          <w:rFonts w:ascii="Arial" w:eastAsiaTheme="majorEastAsia" w:hAnsi="Arial" w:cs="Arial"/>
          <w:color w:val="000000" w:themeColor="text1"/>
          <w:sz w:val="22"/>
          <w:szCs w:val="22"/>
        </w:rPr>
        <w:t xml:space="preserve">A lo anterior se suma la necesidad de </w:t>
      </w:r>
      <w:r w:rsidR="33C336F0" w:rsidRPr="00B65572">
        <w:rPr>
          <w:rFonts w:ascii="Arial" w:eastAsiaTheme="majorEastAsia" w:hAnsi="Arial" w:cs="Arial"/>
          <w:color w:val="000000" w:themeColor="text1"/>
          <w:sz w:val="22"/>
          <w:szCs w:val="22"/>
        </w:rPr>
        <w:t>concebir el envejecimiento como un proceso permanente que se despliega a lo largo de todo el transcurrir vital</w:t>
      </w:r>
      <w:r w:rsidR="0CECA994" w:rsidRPr="00B65572">
        <w:rPr>
          <w:rFonts w:ascii="Arial" w:eastAsiaTheme="majorEastAsia" w:hAnsi="Arial" w:cs="Arial"/>
          <w:color w:val="000000" w:themeColor="text1"/>
          <w:sz w:val="22"/>
          <w:szCs w:val="22"/>
        </w:rPr>
        <w:t xml:space="preserve">, por lo tanto, </w:t>
      </w:r>
      <w:r w:rsidR="5053B7FF" w:rsidRPr="00B65572">
        <w:rPr>
          <w:rFonts w:ascii="Arial" w:eastAsiaTheme="majorEastAsia" w:hAnsi="Arial" w:cs="Arial"/>
          <w:color w:val="000000" w:themeColor="text1"/>
          <w:sz w:val="22"/>
          <w:szCs w:val="22"/>
        </w:rPr>
        <w:t>l</w:t>
      </w:r>
      <w:r w:rsidR="33C336F0" w:rsidRPr="00B65572">
        <w:rPr>
          <w:rFonts w:ascii="Arial" w:eastAsiaTheme="majorEastAsia" w:hAnsi="Arial" w:cs="Arial"/>
          <w:color w:val="000000" w:themeColor="text1"/>
          <w:sz w:val="22"/>
          <w:szCs w:val="22"/>
        </w:rPr>
        <w:t>as condiciones de salud, educación, ingreso y participación</w:t>
      </w:r>
      <w:r w:rsidR="43A1A6A0" w:rsidRPr="00B65572">
        <w:rPr>
          <w:rFonts w:ascii="Arial" w:eastAsiaTheme="majorEastAsia" w:hAnsi="Arial" w:cs="Arial"/>
          <w:color w:val="000000" w:themeColor="text1"/>
          <w:sz w:val="22"/>
          <w:szCs w:val="22"/>
        </w:rPr>
        <w:t>,</w:t>
      </w:r>
      <w:r w:rsidR="33C336F0" w:rsidRPr="00B65572">
        <w:rPr>
          <w:rFonts w:ascii="Arial" w:eastAsiaTheme="majorEastAsia" w:hAnsi="Arial" w:cs="Arial"/>
          <w:color w:val="000000" w:themeColor="text1"/>
          <w:sz w:val="22"/>
          <w:szCs w:val="22"/>
        </w:rPr>
        <w:t xml:space="preserve"> que se acumulan desde la infancia</w:t>
      </w:r>
      <w:r w:rsidR="022F25AC" w:rsidRPr="00B65572">
        <w:rPr>
          <w:rFonts w:ascii="Arial" w:eastAsiaTheme="majorEastAsia" w:hAnsi="Arial" w:cs="Arial"/>
          <w:color w:val="000000" w:themeColor="text1"/>
          <w:sz w:val="22"/>
          <w:szCs w:val="22"/>
        </w:rPr>
        <w:t>,</w:t>
      </w:r>
      <w:r w:rsidR="33C336F0" w:rsidRPr="00B65572">
        <w:rPr>
          <w:rFonts w:ascii="Arial" w:eastAsiaTheme="majorEastAsia" w:hAnsi="Arial" w:cs="Arial"/>
          <w:color w:val="000000" w:themeColor="text1"/>
          <w:sz w:val="22"/>
          <w:szCs w:val="22"/>
        </w:rPr>
        <w:t xml:space="preserve"> inciden directamente en el bienestar </w:t>
      </w:r>
      <w:r w:rsidR="13537953" w:rsidRPr="00B65572">
        <w:rPr>
          <w:rFonts w:ascii="Arial" w:eastAsiaTheme="majorEastAsia" w:hAnsi="Arial" w:cs="Arial"/>
          <w:color w:val="000000" w:themeColor="text1"/>
          <w:sz w:val="22"/>
          <w:szCs w:val="22"/>
        </w:rPr>
        <w:t>en la vejez</w:t>
      </w:r>
      <w:r w:rsidR="33C336F0" w:rsidRPr="00B65572">
        <w:rPr>
          <w:rFonts w:ascii="Arial" w:eastAsiaTheme="majorEastAsia" w:hAnsi="Arial" w:cs="Arial"/>
          <w:color w:val="000000" w:themeColor="text1"/>
          <w:sz w:val="22"/>
          <w:szCs w:val="22"/>
        </w:rPr>
        <w:t>. Incorporar esta mirada intergeneracional y de transcurrir vital, refuerza el enfoque de derechos, señalando las transformaciones estructurales aún pendientes para garantizar el impacto real de las intervenciones.</w:t>
      </w:r>
    </w:p>
    <w:p w14:paraId="3867DB02" w14:textId="1E8E4822" w:rsidR="004805ED" w:rsidRPr="004805ED" w:rsidRDefault="00075D58" w:rsidP="004805ED">
      <w:pPr>
        <w:spacing w:after="120"/>
        <w:rPr>
          <w:rFonts w:ascii="Arial" w:eastAsiaTheme="majorEastAsia" w:hAnsi="Arial" w:cs="Arial"/>
          <w:color w:val="000000" w:themeColor="text1"/>
          <w:sz w:val="22"/>
          <w:szCs w:val="22"/>
        </w:rPr>
      </w:pPr>
      <w:r w:rsidRPr="00B65572">
        <w:rPr>
          <w:rFonts w:ascii="Arial" w:eastAsiaTheme="majorEastAsia" w:hAnsi="Arial" w:cs="Arial"/>
          <w:color w:val="000000" w:themeColor="text1"/>
          <w:sz w:val="22"/>
          <w:szCs w:val="22"/>
        </w:rPr>
        <w:t>En este orden de ideas l</w:t>
      </w:r>
      <w:r w:rsidR="004805ED" w:rsidRPr="00B65572">
        <w:rPr>
          <w:rFonts w:ascii="Arial" w:eastAsiaTheme="majorEastAsia" w:hAnsi="Arial" w:cs="Arial"/>
          <w:color w:val="000000" w:themeColor="text1"/>
          <w:sz w:val="22"/>
          <w:szCs w:val="22"/>
        </w:rPr>
        <w:t xml:space="preserve">a nueva política </w:t>
      </w:r>
      <w:r w:rsidRPr="00B65572">
        <w:rPr>
          <w:rFonts w:ascii="Arial" w:eastAsiaTheme="majorEastAsia" w:hAnsi="Arial" w:cs="Arial"/>
          <w:color w:val="000000" w:themeColor="text1"/>
          <w:sz w:val="22"/>
          <w:szCs w:val="22"/>
        </w:rPr>
        <w:t xml:space="preserve">pública </w:t>
      </w:r>
      <w:r w:rsidR="004805ED" w:rsidRPr="00B65572">
        <w:rPr>
          <w:rFonts w:ascii="Arial" w:eastAsiaTheme="majorEastAsia" w:hAnsi="Arial" w:cs="Arial"/>
          <w:color w:val="000000" w:themeColor="text1"/>
          <w:sz w:val="22"/>
          <w:szCs w:val="22"/>
        </w:rPr>
        <w:t>deberá cimentarse en los enfoques de derechos humanos, género, poblacional-diferencial, territorial, ambiental y de cultura ciudadana</w:t>
      </w:r>
      <w:r w:rsidR="004805ED" w:rsidRPr="00B65572">
        <w:rPr>
          <w:rFonts w:ascii="Arial" w:hAnsi="Arial" w:cs="Arial"/>
          <w:color w:val="000000" w:themeColor="text1"/>
          <w:sz w:val="22"/>
          <w:szCs w:val="22"/>
          <w:vertAlign w:val="superscript"/>
        </w:rPr>
        <w:footnoteReference w:id="10"/>
      </w:r>
      <w:r w:rsidR="004805ED" w:rsidRPr="00B65572">
        <w:rPr>
          <w:rFonts w:ascii="Arial" w:eastAsiaTheme="majorEastAsia" w:hAnsi="Arial" w:cs="Arial"/>
          <w:color w:val="000000" w:themeColor="text1"/>
          <w:sz w:val="22"/>
          <w:szCs w:val="22"/>
        </w:rPr>
        <w:t xml:space="preserve">, incorporando, además, </w:t>
      </w:r>
      <w:r w:rsidR="4F21B285" w:rsidRPr="00B65572">
        <w:rPr>
          <w:rFonts w:ascii="Arial" w:eastAsiaTheme="majorEastAsia" w:hAnsi="Arial" w:cs="Arial"/>
          <w:color w:val="000000" w:themeColor="text1"/>
          <w:sz w:val="22"/>
          <w:szCs w:val="22"/>
        </w:rPr>
        <w:t>el enfoque de Nuevas Longevidades</w:t>
      </w:r>
      <w:r w:rsidRPr="00B65572">
        <w:rPr>
          <w:rStyle w:val="Refdenotaalpie"/>
          <w:rFonts w:ascii="Arial" w:eastAsiaTheme="majorEastAsia" w:hAnsi="Arial" w:cs="Arial"/>
          <w:color w:val="000000" w:themeColor="text1"/>
          <w:sz w:val="22"/>
          <w:szCs w:val="22"/>
        </w:rPr>
        <w:footnoteReference w:id="11"/>
      </w:r>
      <w:r w:rsidR="4F21B285" w:rsidRPr="00B65572">
        <w:rPr>
          <w:rFonts w:ascii="Arial" w:eastAsiaTheme="majorEastAsia" w:hAnsi="Arial" w:cs="Arial"/>
          <w:color w:val="000000" w:themeColor="text1"/>
          <w:sz w:val="22"/>
          <w:szCs w:val="22"/>
        </w:rPr>
        <w:t xml:space="preserve"> y </w:t>
      </w:r>
      <w:r w:rsidR="004805ED" w:rsidRPr="00B65572">
        <w:rPr>
          <w:rFonts w:ascii="Arial" w:eastAsiaTheme="majorEastAsia" w:hAnsi="Arial" w:cs="Arial"/>
          <w:color w:val="000000" w:themeColor="text1"/>
          <w:sz w:val="22"/>
          <w:szCs w:val="22"/>
        </w:rPr>
        <w:t>los postulados de la Década del Envejecimiento Saludable, orientados a</w:t>
      </w:r>
      <w:r w:rsidRPr="00B65572">
        <w:rPr>
          <w:rFonts w:ascii="Arial" w:eastAsiaTheme="majorEastAsia" w:hAnsi="Arial" w:cs="Arial"/>
          <w:color w:val="000000" w:themeColor="text1"/>
          <w:sz w:val="22"/>
          <w:szCs w:val="22"/>
        </w:rPr>
        <w:t xml:space="preserve"> c</w:t>
      </w:r>
      <w:r w:rsidR="004805ED" w:rsidRPr="00B65572">
        <w:rPr>
          <w:rFonts w:ascii="Arial" w:eastAsiaTheme="majorEastAsia" w:hAnsi="Arial" w:cs="Arial"/>
          <w:color w:val="000000" w:themeColor="text1"/>
          <w:sz w:val="22"/>
          <w:szCs w:val="22"/>
        </w:rPr>
        <w:t xml:space="preserve">ombatir </w:t>
      </w:r>
      <w:r w:rsidR="00813580" w:rsidRPr="00B65572">
        <w:rPr>
          <w:rFonts w:ascii="Arial" w:eastAsiaTheme="majorEastAsia" w:hAnsi="Arial" w:cs="Arial"/>
          <w:color w:val="000000" w:themeColor="text1"/>
          <w:sz w:val="22"/>
          <w:szCs w:val="22"/>
        </w:rPr>
        <w:t>la forma en que pensamos, sentimos y actuamos</w:t>
      </w:r>
      <w:r w:rsidR="00943029" w:rsidRPr="00B65572">
        <w:rPr>
          <w:rFonts w:ascii="Arial" w:eastAsiaTheme="majorEastAsia" w:hAnsi="Arial" w:cs="Arial"/>
          <w:color w:val="000000" w:themeColor="text1"/>
          <w:sz w:val="22"/>
          <w:szCs w:val="22"/>
        </w:rPr>
        <w:t xml:space="preserve"> hacía la edad y el envejecimiento</w:t>
      </w:r>
      <w:r w:rsidR="004805ED" w:rsidRPr="00B65572">
        <w:rPr>
          <w:rFonts w:ascii="Arial" w:eastAsiaTheme="majorEastAsia" w:hAnsi="Arial" w:cs="Arial"/>
          <w:color w:val="000000" w:themeColor="text1"/>
          <w:sz w:val="22"/>
          <w:szCs w:val="22"/>
        </w:rPr>
        <w:t>,</w:t>
      </w:r>
      <w:r w:rsidRPr="00B65572">
        <w:rPr>
          <w:rFonts w:ascii="Arial" w:eastAsiaTheme="majorEastAsia" w:hAnsi="Arial" w:cs="Arial"/>
          <w:color w:val="000000" w:themeColor="text1"/>
          <w:sz w:val="22"/>
          <w:szCs w:val="22"/>
        </w:rPr>
        <w:t xml:space="preserve"> f</w:t>
      </w:r>
      <w:r w:rsidR="004805ED" w:rsidRPr="00B65572">
        <w:rPr>
          <w:rFonts w:ascii="Arial" w:eastAsiaTheme="majorEastAsia" w:hAnsi="Arial" w:cs="Arial"/>
          <w:color w:val="000000" w:themeColor="text1"/>
          <w:sz w:val="22"/>
          <w:szCs w:val="22"/>
        </w:rPr>
        <w:t>omentar entornos amigables con la edad,</w:t>
      </w:r>
      <w:r w:rsidRPr="00B65572">
        <w:rPr>
          <w:rFonts w:ascii="Arial" w:eastAsiaTheme="majorEastAsia" w:hAnsi="Arial" w:cs="Arial"/>
          <w:color w:val="000000" w:themeColor="text1"/>
          <w:sz w:val="22"/>
          <w:szCs w:val="22"/>
        </w:rPr>
        <w:t xml:space="preserve"> p</w:t>
      </w:r>
      <w:r w:rsidR="004805ED" w:rsidRPr="00B65572">
        <w:rPr>
          <w:rFonts w:ascii="Arial" w:eastAsiaTheme="majorEastAsia" w:hAnsi="Arial" w:cs="Arial"/>
          <w:color w:val="000000" w:themeColor="text1"/>
          <w:sz w:val="22"/>
          <w:szCs w:val="22"/>
        </w:rPr>
        <w:t>romover servicios de salud integrados</w:t>
      </w:r>
      <w:r w:rsidR="004805ED" w:rsidRPr="41F71D56">
        <w:rPr>
          <w:rFonts w:ascii="Arial" w:eastAsiaTheme="majorEastAsia" w:hAnsi="Arial" w:cs="Arial"/>
          <w:color w:val="000000" w:themeColor="text1"/>
          <w:sz w:val="22"/>
          <w:szCs w:val="22"/>
        </w:rPr>
        <w:t>,</w:t>
      </w:r>
      <w:r w:rsidR="00943029" w:rsidRPr="41F71D56">
        <w:rPr>
          <w:rFonts w:ascii="Arial" w:eastAsiaTheme="majorEastAsia" w:hAnsi="Arial" w:cs="Arial"/>
          <w:color w:val="000000" w:themeColor="text1"/>
          <w:sz w:val="22"/>
          <w:szCs w:val="22"/>
        </w:rPr>
        <w:t xml:space="preserve"> de participación y empleabilidad</w:t>
      </w:r>
      <w:r w:rsidR="004805ED" w:rsidRPr="41F71D56">
        <w:rPr>
          <w:rFonts w:ascii="Arial" w:eastAsiaTheme="majorEastAsia" w:hAnsi="Arial" w:cs="Arial"/>
          <w:color w:val="000000" w:themeColor="text1"/>
          <w:sz w:val="22"/>
          <w:szCs w:val="22"/>
        </w:rPr>
        <w:t xml:space="preserve"> centrados en las personas mayores</w:t>
      </w:r>
      <w:r w:rsidR="0065041D" w:rsidRPr="41F71D56">
        <w:rPr>
          <w:rFonts w:ascii="Arial" w:eastAsiaTheme="majorEastAsia" w:hAnsi="Arial" w:cs="Arial"/>
          <w:color w:val="000000" w:themeColor="text1"/>
          <w:sz w:val="22"/>
          <w:szCs w:val="22"/>
        </w:rPr>
        <w:t xml:space="preserve"> y priorizar</w:t>
      </w:r>
      <w:r w:rsidR="004805ED" w:rsidRPr="41F71D56">
        <w:rPr>
          <w:rFonts w:ascii="Arial" w:eastAsiaTheme="majorEastAsia" w:hAnsi="Arial" w:cs="Arial"/>
          <w:color w:val="000000" w:themeColor="text1"/>
          <w:sz w:val="22"/>
          <w:szCs w:val="22"/>
        </w:rPr>
        <w:t xml:space="preserve"> el acceso universal a servicios de cuidado de largo plazo</w:t>
      </w:r>
      <w:r w:rsidR="0065041D" w:rsidRPr="41F71D56">
        <w:rPr>
          <w:rFonts w:ascii="Arial" w:eastAsiaTheme="majorEastAsia" w:hAnsi="Arial" w:cs="Arial"/>
          <w:color w:val="000000" w:themeColor="text1"/>
          <w:sz w:val="22"/>
          <w:szCs w:val="22"/>
        </w:rPr>
        <w:t>.</w:t>
      </w:r>
    </w:p>
    <w:p w14:paraId="4450BF64" w14:textId="32ACFA40" w:rsidR="00157932" w:rsidRDefault="00157932" w:rsidP="00157932">
      <w:pPr>
        <w:spacing w:after="120"/>
        <w:rPr>
          <w:rFonts w:ascii="Arial" w:eastAsiaTheme="majorEastAsia" w:hAnsi="Arial" w:cs="Arial"/>
          <w:color w:val="000000" w:themeColor="text1"/>
          <w:sz w:val="22"/>
          <w:szCs w:val="22"/>
        </w:rPr>
      </w:pPr>
      <w:r w:rsidRPr="41F71D56">
        <w:rPr>
          <w:rFonts w:ascii="Arial" w:eastAsiaTheme="majorEastAsia" w:hAnsi="Arial" w:cs="Arial"/>
          <w:color w:val="000000" w:themeColor="text1"/>
          <w:sz w:val="22"/>
          <w:szCs w:val="22"/>
        </w:rPr>
        <w:t>En este contexto, es imperativo que la Administración Distrital implemente acciones estructurales, intersectoriales y sostenibles, orientadas al reconocimiento</w:t>
      </w:r>
      <w:r w:rsidR="0F0C0A0B" w:rsidRPr="41F71D56">
        <w:rPr>
          <w:rFonts w:ascii="Arial" w:eastAsiaTheme="majorEastAsia" w:hAnsi="Arial" w:cs="Arial"/>
          <w:color w:val="000000" w:themeColor="text1"/>
          <w:sz w:val="22"/>
          <w:szCs w:val="22"/>
        </w:rPr>
        <w:t xml:space="preserve"> y</w:t>
      </w:r>
      <w:r w:rsidRPr="41F71D56">
        <w:rPr>
          <w:rFonts w:ascii="Arial" w:eastAsiaTheme="majorEastAsia" w:hAnsi="Arial" w:cs="Arial"/>
          <w:color w:val="000000" w:themeColor="text1"/>
          <w:sz w:val="22"/>
          <w:szCs w:val="22"/>
        </w:rPr>
        <w:t xml:space="preserve"> garantía </w:t>
      </w:r>
      <w:r w:rsidR="00CE36E2" w:rsidRPr="41F71D56">
        <w:rPr>
          <w:rFonts w:ascii="Arial" w:eastAsiaTheme="majorEastAsia" w:hAnsi="Arial" w:cs="Arial"/>
          <w:color w:val="000000" w:themeColor="text1"/>
          <w:sz w:val="22"/>
          <w:szCs w:val="22"/>
        </w:rPr>
        <w:t>d</w:t>
      </w:r>
      <w:r w:rsidRPr="41F71D56">
        <w:rPr>
          <w:rFonts w:ascii="Arial" w:eastAsiaTheme="majorEastAsia" w:hAnsi="Arial" w:cs="Arial"/>
          <w:color w:val="000000" w:themeColor="text1"/>
          <w:sz w:val="22"/>
          <w:szCs w:val="22"/>
        </w:rPr>
        <w:t>e los derechos de las personas mayores</w:t>
      </w:r>
      <w:r w:rsidR="00CB1AFA" w:rsidRPr="41F71D56">
        <w:rPr>
          <w:rFonts w:ascii="Arial" w:eastAsiaTheme="majorEastAsia" w:hAnsi="Arial" w:cs="Arial"/>
          <w:color w:val="000000" w:themeColor="text1"/>
          <w:sz w:val="22"/>
          <w:szCs w:val="22"/>
        </w:rPr>
        <w:t xml:space="preserve">, por </w:t>
      </w:r>
      <w:r w:rsidR="00944F35" w:rsidRPr="41F71D56">
        <w:rPr>
          <w:rFonts w:ascii="Arial" w:eastAsiaTheme="majorEastAsia" w:hAnsi="Arial" w:cs="Arial"/>
          <w:color w:val="000000" w:themeColor="text1"/>
          <w:sz w:val="22"/>
          <w:szCs w:val="22"/>
        </w:rPr>
        <w:t>ende,</w:t>
      </w:r>
      <w:r w:rsidR="00CB1AFA" w:rsidRPr="41F71D56">
        <w:rPr>
          <w:rFonts w:ascii="Arial" w:eastAsiaTheme="majorEastAsia" w:hAnsi="Arial" w:cs="Arial"/>
          <w:color w:val="000000" w:themeColor="text1"/>
          <w:sz w:val="22"/>
          <w:szCs w:val="22"/>
        </w:rPr>
        <w:t xml:space="preserve"> la</w:t>
      </w:r>
      <w:r w:rsidRPr="41F71D56">
        <w:rPr>
          <w:rFonts w:ascii="Arial" w:eastAsiaTheme="majorEastAsia" w:hAnsi="Arial" w:cs="Arial"/>
          <w:color w:val="000000" w:themeColor="text1"/>
          <w:sz w:val="22"/>
          <w:szCs w:val="22"/>
        </w:rPr>
        <w:t xml:space="preserve"> nueva política debe partir de un diagnóstico integral de las barreras estructurales que limitan su bienestar e inclusión, reconociendo también la diversidad y riqueza de aportes que las personas mayores hacen a la sociedad.</w:t>
      </w:r>
    </w:p>
    <w:p w14:paraId="64093612" w14:textId="56104D1E" w:rsidR="00157932" w:rsidRPr="006F657D" w:rsidRDefault="7E324868" w:rsidP="41F71D56">
      <w:pPr>
        <w:spacing w:after="120"/>
        <w:rPr>
          <w:rFonts w:ascii="Arial" w:eastAsiaTheme="majorEastAsia" w:hAnsi="Arial" w:cs="Arial"/>
          <w:color w:val="000000" w:themeColor="text1"/>
          <w:sz w:val="22"/>
          <w:szCs w:val="22"/>
        </w:rPr>
      </w:pPr>
      <w:r w:rsidRPr="41F71D56">
        <w:rPr>
          <w:rFonts w:ascii="Arial" w:eastAsiaTheme="majorEastAsia" w:hAnsi="Arial" w:cs="Arial"/>
          <w:color w:val="000000" w:themeColor="text1"/>
          <w:sz w:val="22"/>
          <w:szCs w:val="22"/>
        </w:rPr>
        <w:t>L</w:t>
      </w:r>
      <w:r w:rsidR="00157932" w:rsidRPr="41F71D56">
        <w:rPr>
          <w:rFonts w:ascii="Arial" w:eastAsiaTheme="majorEastAsia" w:hAnsi="Arial" w:cs="Arial"/>
          <w:color w:val="000000" w:themeColor="text1"/>
          <w:sz w:val="22"/>
          <w:szCs w:val="22"/>
        </w:rPr>
        <w:t xml:space="preserve">a nueva política debe consolidarse como un instrumento transformador que garantice no solo el acceso equitativo a derechos, sino también la construcción de una sociedad donde el envejecimiento y las múltiples formas de vivir la vejez sean reconocidas, respetadas y </w:t>
      </w:r>
      <w:r w:rsidR="00157932" w:rsidRPr="41F71D56">
        <w:rPr>
          <w:rFonts w:ascii="Arial" w:eastAsiaTheme="majorEastAsia" w:hAnsi="Arial" w:cs="Arial"/>
          <w:color w:val="000000" w:themeColor="text1"/>
          <w:sz w:val="22"/>
          <w:szCs w:val="22"/>
        </w:rPr>
        <w:lastRenderedPageBreak/>
        <w:t>valoradas</w:t>
      </w:r>
      <w:r w:rsidR="15B808CA" w:rsidRPr="41F71D56">
        <w:rPr>
          <w:rFonts w:ascii="Arial" w:eastAsiaTheme="majorEastAsia" w:hAnsi="Arial" w:cs="Arial"/>
          <w:color w:val="000000" w:themeColor="text1"/>
          <w:sz w:val="22"/>
          <w:szCs w:val="22"/>
        </w:rPr>
        <w:t>, derribando</w:t>
      </w:r>
      <w:r w:rsidR="00157932" w:rsidRPr="41F71D56">
        <w:rPr>
          <w:rFonts w:ascii="Arial" w:eastAsiaTheme="majorEastAsia" w:hAnsi="Arial" w:cs="Arial"/>
          <w:color w:val="000000" w:themeColor="text1"/>
          <w:sz w:val="22"/>
          <w:szCs w:val="22"/>
        </w:rPr>
        <w:t xml:space="preserve"> los</w:t>
      </w:r>
      <w:r w:rsidR="00DF5407" w:rsidRPr="41F71D56">
        <w:rPr>
          <w:rFonts w:ascii="Arial" w:eastAsiaTheme="majorEastAsia" w:hAnsi="Arial" w:cs="Arial"/>
          <w:color w:val="000000" w:themeColor="text1"/>
          <w:sz w:val="22"/>
          <w:szCs w:val="22"/>
        </w:rPr>
        <w:t xml:space="preserve"> prejuicios, estereotipos e</w:t>
      </w:r>
      <w:r w:rsidR="00157932" w:rsidRPr="41F71D56">
        <w:rPr>
          <w:rFonts w:ascii="Arial" w:eastAsiaTheme="majorEastAsia" w:hAnsi="Arial" w:cs="Arial"/>
          <w:color w:val="000000" w:themeColor="text1"/>
          <w:sz w:val="22"/>
          <w:szCs w:val="22"/>
        </w:rPr>
        <w:t xml:space="preserve"> imaginarios edadistas que aún permean la cultura urbana</w:t>
      </w:r>
      <w:r w:rsidR="3B6489C0" w:rsidRPr="41F71D56">
        <w:rPr>
          <w:rFonts w:ascii="Arial" w:eastAsiaTheme="majorEastAsia" w:hAnsi="Arial" w:cs="Arial"/>
          <w:color w:val="000000" w:themeColor="text1"/>
          <w:sz w:val="22"/>
          <w:szCs w:val="22"/>
        </w:rPr>
        <w:t>.</w:t>
      </w:r>
    </w:p>
    <w:p w14:paraId="1060EEDF" w14:textId="51C65E44" w:rsidR="41F71D56" w:rsidRDefault="41F71D56" w:rsidP="41F71D56">
      <w:pPr>
        <w:spacing w:after="120"/>
        <w:rPr>
          <w:rFonts w:ascii="Arial" w:eastAsiaTheme="majorEastAsia" w:hAnsi="Arial" w:cs="Arial"/>
          <w:color w:val="000000" w:themeColor="text1"/>
          <w:sz w:val="22"/>
          <w:szCs w:val="22"/>
        </w:rPr>
      </w:pPr>
    </w:p>
    <w:p w14:paraId="1D2C48C1" w14:textId="66B24E18" w:rsidR="00586A55" w:rsidRPr="00CC235A" w:rsidRDefault="00306868" w:rsidP="00CC235A">
      <w:pPr>
        <w:pStyle w:val="Prrafodelista"/>
        <w:numPr>
          <w:ilvl w:val="0"/>
          <w:numId w:val="34"/>
        </w:numPr>
        <w:rPr>
          <w:rFonts w:ascii="Arial" w:hAnsi="Arial" w:cs="Arial"/>
          <w:b/>
          <w:bCs/>
          <w:color w:val="000000" w:themeColor="text1"/>
          <w:sz w:val="22"/>
          <w:szCs w:val="22"/>
        </w:rPr>
      </w:pPr>
      <w:r w:rsidRPr="00CC235A">
        <w:rPr>
          <w:rFonts w:ascii="Arial" w:hAnsi="Arial" w:cs="Arial"/>
          <w:b/>
          <w:bCs/>
          <w:color w:val="000000" w:themeColor="text1"/>
          <w:sz w:val="22"/>
          <w:szCs w:val="22"/>
        </w:rPr>
        <w:t>Sectores y entidades corresponsables para la formulación e implementación de la política</w:t>
      </w:r>
    </w:p>
    <w:p w14:paraId="2C79A6F1" w14:textId="1809F4CF" w:rsidR="382D743B" w:rsidRDefault="009A6333" w:rsidP="1CA20107">
      <w:pPr>
        <w:spacing w:before="240" w:after="240"/>
        <w:rPr>
          <w:rFonts w:ascii="Arial" w:eastAsia="Arial" w:hAnsi="Arial" w:cs="Arial"/>
          <w:color w:val="000000" w:themeColor="text1"/>
          <w:sz w:val="22"/>
          <w:szCs w:val="22"/>
        </w:rPr>
      </w:pPr>
      <w:r w:rsidRPr="00944F35">
        <w:rPr>
          <w:rFonts w:ascii="Arial" w:eastAsia="Arial" w:hAnsi="Arial" w:cs="Arial"/>
          <w:color w:val="000000" w:themeColor="text1"/>
          <w:sz w:val="22"/>
          <w:szCs w:val="22"/>
        </w:rPr>
        <w:t>En cumplimiento de las fases previstas para la formulación de la nueva Política Pública Social para el Envejecimiento y la Vejez 2026-2036</w:t>
      </w:r>
      <w:r w:rsidR="382D743B" w:rsidRPr="00944F35">
        <w:rPr>
          <w:rFonts w:ascii="Arial" w:eastAsia="Arial" w:hAnsi="Arial" w:cs="Arial"/>
          <w:color w:val="000000" w:themeColor="text1"/>
          <w:sz w:val="22"/>
          <w:szCs w:val="22"/>
        </w:rPr>
        <w:t xml:space="preserve">, </w:t>
      </w:r>
      <w:r w:rsidR="00B9751C" w:rsidRPr="00944F35">
        <w:rPr>
          <w:rFonts w:ascii="Arial" w:eastAsia="Arial" w:hAnsi="Arial" w:cs="Arial"/>
          <w:color w:val="000000" w:themeColor="text1"/>
          <w:sz w:val="22"/>
          <w:szCs w:val="22"/>
        </w:rPr>
        <w:t xml:space="preserve">realizada </w:t>
      </w:r>
      <w:r w:rsidR="00784385" w:rsidRPr="00944F35">
        <w:rPr>
          <w:rFonts w:ascii="Arial" w:eastAsia="Arial" w:hAnsi="Arial" w:cs="Arial"/>
          <w:color w:val="000000" w:themeColor="text1"/>
          <w:sz w:val="22"/>
          <w:szCs w:val="22"/>
        </w:rPr>
        <w:t xml:space="preserve">durante el segundo trimestre </w:t>
      </w:r>
      <w:r w:rsidR="008D1C3E" w:rsidRPr="00944F35">
        <w:rPr>
          <w:rFonts w:ascii="Arial" w:eastAsia="Arial" w:hAnsi="Arial" w:cs="Arial"/>
          <w:color w:val="000000" w:themeColor="text1"/>
          <w:sz w:val="22"/>
          <w:szCs w:val="22"/>
        </w:rPr>
        <w:t xml:space="preserve">de 2025 </w:t>
      </w:r>
      <w:r w:rsidR="382D743B" w:rsidRPr="00944F35">
        <w:rPr>
          <w:rFonts w:ascii="Arial" w:eastAsia="Arial" w:hAnsi="Arial" w:cs="Arial"/>
          <w:color w:val="000000" w:themeColor="text1"/>
          <w:sz w:val="22"/>
          <w:szCs w:val="22"/>
        </w:rPr>
        <w:t>se identificó una amplia</w:t>
      </w:r>
      <w:r w:rsidR="382D743B" w:rsidRPr="27E62D1E">
        <w:rPr>
          <w:rFonts w:ascii="Arial" w:eastAsia="Arial" w:hAnsi="Arial" w:cs="Arial"/>
          <w:color w:val="000000" w:themeColor="text1"/>
          <w:sz w:val="22"/>
          <w:szCs w:val="22"/>
        </w:rPr>
        <w:t xml:space="preserve"> gama de actores corresponsables, resultado de un ejercicio participativo de mapeo de actores desarrollado con metodología </w:t>
      </w:r>
      <w:r w:rsidR="5E7EB5AE" w:rsidRPr="27E62D1E">
        <w:rPr>
          <w:rFonts w:ascii="Arial" w:eastAsia="Arial" w:hAnsi="Arial" w:cs="Arial"/>
          <w:color w:val="000000" w:themeColor="text1"/>
          <w:sz w:val="22"/>
          <w:szCs w:val="22"/>
        </w:rPr>
        <w:t>estratégica</w:t>
      </w:r>
      <w:r w:rsidR="382D743B" w:rsidRPr="27E62D1E">
        <w:rPr>
          <w:rFonts w:ascii="Arial" w:eastAsia="Arial" w:hAnsi="Arial" w:cs="Arial"/>
          <w:color w:val="000000" w:themeColor="text1"/>
          <w:sz w:val="22"/>
          <w:szCs w:val="22"/>
        </w:rPr>
        <w:t xml:space="preserve">. Este proceso contó con la participación ciudadana y permitió agrupar los actores clave en seis categorías principales: sociedad civil, organizaciones de base y comunitarias, sector público, academia, instancias de participación y sector privado. Dentro de cada grupo se encuentran actores específicos, los cuales están detalladamente descritos en </w:t>
      </w:r>
      <w:r w:rsidR="5B463FFA" w:rsidRPr="27E62D1E">
        <w:rPr>
          <w:rFonts w:ascii="Arial" w:eastAsia="Arial" w:hAnsi="Arial" w:cs="Arial"/>
          <w:color w:val="000000" w:themeColor="text1"/>
          <w:sz w:val="22"/>
          <w:szCs w:val="22"/>
        </w:rPr>
        <w:t xml:space="preserve">el siguiente </w:t>
      </w:r>
      <w:r w:rsidR="382D743B" w:rsidRPr="27E62D1E">
        <w:rPr>
          <w:rFonts w:ascii="Arial" w:eastAsia="Arial" w:hAnsi="Arial" w:cs="Arial"/>
          <w:color w:val="000000" w:themeColor="text1"/>
          <w:sz w:val="22"/>
          <w:szCs w:val="22"/>
        </w:rPr>
        <w:t>documento anexo que contiene la estrategia y el mapeo de actores.</w:t>
      </w:r>
    </w:p>
    <w:p w14:paraId="51D95108" w14:textId="138112A6" w:rsidR="382D743B" w:rsidRDefault="382D743B" w:rsidP="1CA20107">
      <w:pPr>
        <w:spacing w:before="240" w:after="240"/>
        <w:rPr>
          <w:rFonts w:ascii="Arial" w:eastAsia="Arial" w:hAnsi="Arial" w:cs="Arial"/>
          <w:color w:val="000000" w:themeColor="text1"/>
          <w:sz w:val="22"/>
          <w:szCs w:val="22"/>
        </w:rPr>
      </w:pPr>
      <w:r w:rsidRPr="27E62D1E">
        <w:rPr>
          <w:rFonts w:ascii="Arial" w:eastAsia="Arial" w:hAnsi="Arial" w:cs="Arial"/>
          <w:color w:val="000000" w:themeColor="text1"/>
          <w:sz w:val="22"/>
          <w:szCs w:val="22"/>
        </w:rPr>
        <w:t xml:space="preserve">La corresponsabilidad en esta política se basa en el reconocimiento integral de los derechos, necesidades y potencialidades de las personas mayores, así como en el enfoque de </w:t>
      </w:r>
      <w:r w:rsidR="00D23397">
        <w:rPr>
          <w:rFonts w:ascii="Arial" w:eastAsia="Arial" w:hAnsi="Arial" w:cs="Arial"/>
          <w:color w:val="000000" w:themeColor="text1"/>
          <w:sz w:val="22"/>
          <w:szCs w:val="22"/>
        </w:rPr>
        <w:t xml:space="preserve">nuevas longevidades, </w:t>
      </w:r>
      <w:r w:rsidRPr="27E62D1E">
        <w:rPr>
          <w:rFonts w:ascii="Arial" w:eastAsia="Arial" w:hAnsi="Arial" w:cs="Arial"/>
          <w:color w:val="000000" w:themeColor="text1"/>
          <w:sz w:val="22"/>
          <w:szCs w:val="22"/>
        </w:rPr>
        <w:t xml:space="preserve">envejecimiento digno, activo y </w:t>
      </w:r>
      <w:r w:rsidR="00D23397" w:rsidRPr="27E62D1E">
        <w:rPr>
          <w:rFonts w:ascii="Arial" w:eastAsia="Arial" w:hAnsi="Arial" w:cs="Arial"/>
          <w:color w:val="000000" w:themeColor="text1"/>
          <w:sz w:val="22"/>
          <w:szCs w:val="22"/>
        </w:rPr>
        <w:t>saludable</w:t>
      </w:r>
      <w:r w:rsidR="00D23397">
        <w:rPr>
          <w:rFonts w:ascii="Arial" w:eastAsia="Arial" w:hAnsi="Arial" w:cs="Arial"/>
          <w:color w:val="000000" w:themeColor="text1"/>
          <w:sz w:val="22"/>
          <w:szCs w:val="22"/>
        </w:rPr>
        <w:t>.</w:t>
      </w:r>
      <w:r w:rsidRPr="27E62D1E">
        <w:rPr>
          <w:rFonts w:ascii="Arial" w:eastAsia="Arial" w:hAnsi="Arial" w:cs="Arial"/>
          <w:color w:val="000000" w:themeColor="text1"/>
          <w:sz w:val="22"/>
          <w:szCs w:val="22"/>
        </w:rPr>
        <w:t xml:space="preserve"> Por ello, se reconoce que todas las entidades del gobierno distrital, junto con los sectores sociales, económicos y comunitarios, deben participar activamente en la formulación, implementación, seguimiento y evaluación de la Política Pública.</w:t>
      </w:r>
    </w:p>
    <w:p w14:paraId="14BD85F6" w14:textId="0D426BF3" w:rsidR="33AA8CD8" w:rsidRDefault="33AA8CD8" w:rsidP="1CA20107">
      <w:pPr>
        <w:spacing w:before="240" w:after="240"/>
        <w:rPr>
          <w:rFonts w:ascii="Arial" w:eastAsia="Arial" w:hAnsi="Arial" w:cs="Arial"/>
          <w:color w:val="000000" w:themeColor="text1"/>
          <w:sz w:val="22"/>
          <w:szCs w:val="22"/>
        </w:rPr>
      </w:pPr>
      <w:r w:rsidRPr="1CA20107">
        <w:rPr>
          <w:rFonts w:ascii="Arial" w:eastAsia="Arial" w:hAnsi="Arial" w:cs="Arial"/>
          <w:color w:val="000000" w:themeColor="text1"/>
          <w:sz w:val="22"/>
          <w:szCs w:val="22"/>
        </w:rPr>
        <w:t xml:space="preserve">Algunos de los actores identificados fueron: </w:t>
      </w:r>
      <w:r w:rsidRPr="1CA20107">
        <w:rPr>
          <w:rFonts w:ascii="Arial" w:eastAsia="Arial" w:hAnsi="Arial" w:cs="Arial"/>
          <w:b/>
          <w:bCs/>
          <w:color w:val="000000" w:themeColor="text1"/>
          <w:sz w:val="22"/>
          <w:szCs w:val="22"/>
        </w:rPr>
        <w:t>Sociedad civil y comunitaria:</w:t>
      </w:r>
      <w:r w:rsidRPr="1CA20107">
        <w:rPr>
          <w:rFonts w:ascii="Arial" w:eastAsia="Arial" w:hAnsi="Arial" w:cs="Arial"/>
          <w:color w:val="000000" w:themeColor="text1"/>
          <w:sz w:val="22"/>
          <w:szCs w:val="22"/>
        </w:rPr>
        <w:t xml:space="preserve"> incluye a las personas mayores de las 20 localidades, sus familias y cuidadores, la ciudadanía intergeneracional, niños y adolescentes, redes barriales y Juntas de Acción Comunal, así como iglesias, voluntariados y veedurías que ejercen control social.</w:t>
      </w:r>
    </w:p>
    <w:p w14:paraId="1D13F59B" w14:textId="2540A1D6" w:rsidR="33AA8CD8" w:rsidRDefault="33AA8CD8" w:rsidP="1CA20107">
      <w:pPr>
        <w:spacing w:before="240" w:after="240"/>
        <w:rPr>
          <w:rFonts w:ascii="Arial" w:eastAsia="Arial" w:hAnsi="Arial" w:cs="Arial"/>
          <w:color w:val="000000" w:themeColor="text1"/>
          <w:sz w:val="22"/>
          <w:szCs w:val="22"/>
        </w:rPr>
      </w:pPr>
      <w:r w:rsidRPr="1CA20107">
        <w:rPr>
          <w:rFonts w:ascii="Arial" w:eastAsia="Arial" w:hAnsi="Arial" w:cs="Arial"/>
          <w:b/>
          <w:bCs/>
          <w:color w:val="000000" w:themeColor="text1"/>
          <w:sz w:val="22"/>
          <w:szCs w:val="22"/>
        </w:rPr>
        <w:t>Sector público:</w:t>
      </w:r>
      <w:r w:rsidRPr="1CA20107">
        <w:rPr>
          <w:rFonts w:ascii="Arial" w:eastAsia="Arial" w:hAnsi="Arial" w:cs="Arial"/>
          <w:color w:val="000000" w:themeColor="text1"/>
          <w:sz w:val="22"/>
          <w:szCs w:val="22"/>
        </w:rPr>
        <w:t xml:space="preserve"> abarca al gobierno distrital (Alcaldía Mayor, alcaldías locales, Concejo y secretarías), entidades distritales (Atenea, </w:t>
      </w:r>
      <w:r w:rsidR="00C27862" w:rsidRPr="00C27862">
        <w:rPr>
          <w:rFonts w:ascii="Arial" w:eastAsia="Arial" w:hAnsi="Arial" w:cs="Arial"/>
          <w:color w:val="000000" w:themeColor="text1"/>
          <w:sz w:val="22"/>
          <w:szCs w:val="22"/>
        </w:rPr>
        <w:t xml:space="preserve">Instituto Distrital de Recreación y Deporte </w:t>
      </w:r>
      <w:r w:rsidR="00C27862">
        <w:rPr>
          <w:rFonts w:ascii="Arial" w:eastAsia="Arial" w:hAnsi="Arial" w:cs="Arial"/>
          <w:color w:val="000000" w:themeColor="text1"/>
          <w:sz w:val="22"/>
          <w:szCs w:val="22"/>
        </w:rPr>
        <w:t>“</w:t>
      </w:r>
      <w:r w:rsidRPr="1CA20107">
        <w:rPr>
          <w:rFonts w:ascii="Arial" w:eastAsia="Arial" w:hAnsi="Arial" w:cs="Arial"/>
          <w:color w:val="000000" w:themeColor="text1"/>
          <w:sz w:val="22"/>
          <w:szCs w:val="22"/>
        </w:rPr>
        <w:t>IDRD</w:t>
      </w:r>
      <w:r w:rsidR="00C27862">
        <w:rPr>
          <w:rFonts w:ascii="Arial" w:eastAsia="Arial" w:hAnsi="Arial" w:cs="Arial"/>
          <w:color w:val="000000" w:themeColor="text1"/>
          <w:sz w:val="22"/>
          <w:szCs w:val="22"/>
        </w:rPr>
        <w:t>”</w:t>
      </w:r>
      <w:r w:rsidRPr="1CA20107">
        <w:rPr>
          <w:rFonts w:ascii="Arial" w:eastAsia="Arial" w:hAnsi="Arial" w:cs="Arial"/>
          <w:color w:val="000000" w:themeColor="text1"/>
          <w:sz w:val="22"/>
          <w:szCs w:val="22"/>
        </w:rPr>
        <w:t xml:space="preserve">, </w:t>
      </w:r>
      <w:r w:rsidR="00C27862">
        <w:rPr>
          <w:rFonts w:ascii="Arial" w:eastAsia="Arial" w:hAnsi="Arial" w:cs="Arial"/>
          <w:color w:val="000000" w:themeColor="text1"/>
          <w:sz w:val="22"/>
          <w:szCs w:val="22"/>
        </w:rPr>
        <w:t>I</w:t>
      </w:r>
      <w:r w:rsidR="00C27862" w:rsidRPr="00C27862">
        <w:rPr>
          <w:rFonts w:ascii="Arial" w:eastAsia="Arial" w:hAnsi="Arial" w:cs="Arial"/>
          <w:color w:val="000000" w:themeColor="text1"/>
          <w:sz w:val="22"/>
          <w:szCs w:val="22"/>
        </w:rPr>
        <w:t xml:space="preserve">nstituto Distrital de la Participación y Acción Comunal </w:t>
      </w:r>
      <w:r w:rsidR="00C27862">
        <w:rPr>
          <w:rFonts w:ascii="Arial" w:eastAsia="Arial" w:hAnsi="Arial" w:cs="Arial"/>
          <w:color w:val="000000" w:themeColor="text1"/>
          <w:sz w:val="22"/>
          <w:szCs w:val="22"/>
        </w:rPr>
        <w:t>“</w:t>
      </w:r>
      <w:r w:rsidRPr="1CA20107">
        <w:rPr>
          <w:rFonts w:ascii="Arial" w:eastAsia="Arial" w:hAnsi="Arial" w:cs="Arial"/>
          <w:color w:val="000000" w:themeColor="text1"/>
          <w:sz w:val="22"/>
          <w:szCs w:val="22"/>
        </w:rPr>
        <w:t>IDPAC</w:t>
      </w:r>
      <w:r w:rsidR="00C27862">
        <w:rPr>
          <w:rFonts w:ascii="Arial" w:eastAsia="Arial" w:hAnsi="Arial" w:cs="Arial"/>
          <w:color w:val="000000" w:themeColor="text1"/>
          <w:sz w:val="22"/>
          <w:szCs w:val="22"/>
        </w:rPr>
        <w:t>”</w:t>
      </w:r>
      <w:r w:rsidRPr="1CA20107">
        <w:rPr>
          <w:rFonts w:ascii="Arial" w:eastAsia="Arial" w:hAnsi="Arial" w:cs="Arial"/>
          <w:color w:val="000000" w:themeColor="text1"/>
          <w:sz w:val="22"/>
          <w:szCs w:val="22"/>
        </w:rPr>
        <w:t xml:space="preserve">, </w:t>
      </w:r>
      <w:r w:rsidR="00C27862" w:rsidRPr="00C27862">
        <w:rPr>
          <w:rFonts w:ascii="Arial" w:eastAsia="Arial" w:hAnsi="Arial" w:cs="Arial"/>
          <w:color w:val="000000" w:themeColor="text1"/>
          <w:sz w:val="22"/>
          <w:szCs w:val="22"/>
        </w:rPr>
        <w:t xml:space="preserve">Instituto para la Economía Social </w:t>
      </w:r>
      <w:r w:rsidR="00C27862">
        <w:rPr>
          <w:rFonts w:ascii="Arial" w:eastAsia="Arial" w:hAnsi="Arial" w:cs="Arial"/>
          <w:color w:val="000000" w:themeColor="text1"/>
          <w:sz w:val="22"/>
          <w:szCs w:val="22"/>
        </w:rPr>
        <w:t>“</w:t>
      </w:r>
      <w:r w:rsidRPr="1CA20107">
        <w:rPr>
          <w:rFonts w:ascii="Arial" w:eastAsia="Arial" w:hAnsi="Arial" w:cs="Arial"/>
          <w:color w:val="000000" w:themeColor="text1"/>
          <w:sz w:val="22"/>
          <w:szCs w:val="22"/>
        </w:rPr>
        <w:t>IPES</w:t>
      </w:r>
      <w:r w:rsidR="00C27862">
        <w:rPr>
          <w:rFonts w:ascii="Arial" w:eastAsia="Arial" w:hAnsi="Arial" w:cs="Arial"/>
          <w:color w:val="000000" w:themeColor="text1"/>
          <w:sz w:val="22"/>
          <w:szCs w:val="22"/>
        </w:rPr>
        <w:t>”</w:t>
      </w:r>
      <w:r w:rsidRPr="1CA20107">
        <w:rPr>
          <w:rFonts w:ascii="Arial" w:eastAsia="Arial" w:hAnsi="Arial" w:cs="Arial"/>
          <w:color w:val="000000" w:themeColor="text1"/>
          <w:sz w:val="22"/>
          <w:szCs w:val="22"/>
        </w:rPr>
        <w:t xml:space="preserve">, BibloRed, </w:t>
      </w:r>
      <w:r w:rsidR="00C27862" w:rsidRPr="00C27862">
        <w:rPr>
          <w:rFonts w:ascii="Arial" w:eastAsia="Arial" w:hAnsi="Arial" w:cs="Arial"/>
          <w:color w:val="000000" w:themeColor="text1"/>
          <w:sz w:val="22"/>
          <w:szCs w:val="22"/>
        </w:rPr>
        <w:t xml:space="preserve">Unidad Administrativa Especial de Servicios Públicos </w:t>
      </w:r>
      <w:r w:rsidR="00C27862">
        <w:rPr>
          <w:rFonts w:ascii="Arial" w:eastAsia="Arial" w:hAnsi="Arial" w:cs="Arial"/>
          <w:color w:val="000000" w:themeColor="text1"/>
          <w:sz w:val="22"/>
          <w:szCs w:val="22"/>
        </w:rPr>
        <w:t>“</w:t>
      </w:r>
      <w:r w:rsidRPr="1CA20107">
        <w:rPr>
          <w:rFonts w:ascii="Arial" w:eastAsia="Arial" w:hAnsi="Arial" w:cs="Arial"/>
          <w:color w:val="000000" w:themeColor="text1"/>
          <w:sz w:val="22"/>
          <w:szCs w:val="22"/>
        </w:rPr>
        <w:t>UAESP</w:t>
      </w:r>
      <w:r w:rsidR="00C27862">
        <w:rPr>
          <w:rFonts w:ascii="Arial" w:eastAsia="Arial" w:hAnsi="Arial" w:cs="Arial"/>
          <w:color w:val="000000" w:themeColor="text1"/>
          <w:sz w:val="22"/>
          <w:szCs w:val="22"/>
        </w:rPr>
        <w:t>”</w:t>
      </w:r>
      <w:r w:rsidRPr="1CA20107">
        <w:rPr>
          <w:rFonts w:ascii="Arial" w:eastAsia="Arial" w:hAnsi="Arial" w:cs="Arial"/>
          <w:color w:val="000000" w:themeColor="text1"/>
          <w:sz w:val="22"/>
          <w:szCs w:val="22"/>
        </w:rPr>
        <w:t xml:space="preserve">, Sistema Distrital del Cuidado, TransMilenio), órganos de control y justicia (Personería, Defensoría, Procuraduría, Fiscalía, </w:t>
      </w:r>
      <w:r w:rsidR="00C27862" w:rsidRPr="00C27862">
        <w:rPr>
          <w:rFonts w:ascii="Arial" w:eastAsia="Arial" w:hAnsi="Arial" w:cs="Arial"/>
          <w:color w:val="000000" w:themeColor="text1"/>
          <w:sz w:val="22"/>
          <w:szCs w:val="22"/>
        </w:rPr>
        <w:t xml:space="preserve">Instituto Nacional Penitenciario y Carcelario </w:t>
      </w:r>
      <w:r w:rsidR="00C27862">
        <w:rPr>
          <w:rFonts w:ascii="Arial" w:eastAsia="Arial" w:hAnsi="Arial" w:cs="Arial"/>
          <w:color w:val="000000" w:themeColor="text1"/>
          <w:sz w:val="22"/>
          <w:szCs w:val="22"/>
        </w:rPr>
        <w:t>“</w:t>
      </w:r>
      <w:r w:rsidRPr="1CA20107">
        <w:rPr>
          <w:rFonts w:ascii="Arial" w:eastAsia="Arial" w:hAnsi="Arial" w:cs="Arial"/>
          <w:color w:val="000000" w:themeColor="text1"/>
          <w:sz w:val="22"/>
          <w:szCs w:val="22"/>
        </w:rPr>
        <w:t>INPEC</w:t>
      </w:r>
      <w:r w:rsidR="00C27862">
        <w:rPr>
          <w:rFonts w:ascii="Arial" w:eastAsia="Arial" w:hAnsi="Arial" w:cs="Arial"/>
          <w:color w:val="000000" w:themeColor="text1"/>
          <w:sz w:val="22"/>
          <w:szCs w:val="22"/>
        </w:rPr>
        <w:t>”</w:t>
      </w:r>
      <w:r w:rsidRPr="1CA20107">
        <w:rPr>
          <w:rFonts w:ascii="Arial" w:eastAsia="Arial" w:hAnsi="Arial" w:cs="Arial"/>
          <w:color w:val="000000" w:themeColor="text1"/>
          <w:sz w:val="22"/>
          <w:szCs w:val="22"/>
        </w:rPr>
        <w:t>, Policía</w:t>
      </w:r>
      <w:r w:rsidR="00C27862">
        <w:rPr>
          <w:rFonts w:ascii="Arial" w:eastAsia="Arial" w:hAnsi="Arial" w:cs="Arial"/>
          <w:color w:val="000000" w:themeColor="text1"/>
          <w:sz w:val="22"/>
          <w:szCs w:val="22"/>
        </w:rPr>
        <w:t xml:space="preserve"> Nacional</w:t>
      </w:r>
      <w:r w:rsidRPr="1CA20107">
        <w:rPr>
          <w:rFonts w:ascii="Arial" w:eastAsia="Arial" w:hAnsi="Arial" w:cs="Arial"/>
          <w:color w:val="000000" w:themeColor="text1"/>
          <w:sz w:val="22"/>
          <w:szCs w:val="22"/>
        </w:rPr>
        <w:t xml:space="preserve">, comisarías y jueces) y entidades nacionales como los ministerios, el Congreso, </w:t>
      </w:r>
      <w:r w:rsidR="00C27862" w:rsidRPr="00C27862">
        <w:rPr>
          <w:rFonts w:ascii="Arial" w:eastAsia="Arial" w:hAnsi="Arial" w:cs="Arial"/>
          <w:color w:val="000000" w:themeColor="text1"/>
          <w:sz w:val="22"/>
          <w:szCs w:val="22"/>
        </w:rPr>
        <w:t xml:space="preserve">Instituto Colombiano de Bienestar Familiar </w:t>
      </w:r>
      <w:r w:rsidR="00C27862">
        <w:rPr>
          <w:rFonts w:ascii="Arial" w:eastAsia="Arial" w:hAnsi="Arial" w:cs="Arial"/>
          <w:color w:val="000000" w:themeColor="text1"/>
          <w:sz w:val="22"/>
          <w:szCs w:val="22"/>
        </w:rPr>
        <w:t>“</w:t>
      </w:r>
      <w:r w:rsidRPr="1CA20107">
        <w:rPr>
          <w:rFonts w:ascii="Arial" w:eastAsia="Arial" w:hAnsi="Arial" w:cs="Arial"/>
          <w:color w:val="000000" w:themeColor="text1"/>
          <w:sz w:val="22"/>
          <w:szCs w:val="22"/>
        </w:rPr>
        <w:t>ICBF</w:t>
      </w:r>
      <w:r w:rsidR="00C27862">
        <w:rPr>
          <w:rFonts w:ascii="Arial" w:eastAsia="Arial" w:hAnsi="Arial" w:cs="Arial"/>
          <w:color w:val="000000" w:themeColor="text1"/>
          <w:sz w:val="22"/>
          <w:szCs w:val="22"/>
        </w:rPr>
        <w:t>”</w:t>
      </w:r>
      <w:r w:rsidRPr="1CA20107">
        <w:rPr>
          <w:rFonts w:ascii="Arial" w:eastAsia="Arial" w:hAnsi="Arial" w:cs="Arial"/>
          <w:color w:val="000000" w:themeColor="text1"/>
          <w:sz w:val="22"/>
          <w:szCs w:val="22"/>
        </w:rPr>
        <w:t xml:space="preserve"> y </w:t>
      </w:r>
      <w:r w:rsidR="00C27862" w:rsidRPr="00C27862">
        <w:rPr>
          <w:rFonts w:ascii="Arial" w:eastAsia="Arial" w:hAnsi="Arial" w:cs="Arial"/>
          <w:color w:val="000000" w:themeColor="text1"/>
          <w:sz w:val="22"/>
          <w:szCs w:val="22"/>
        </w:rPr>
        <w:t xml:space="preserve">La Unidad para la Atención y Reparación Integral a las Víctimas </w:t>
      </w:r>
      <w:r w:rsidR="00C27862">
        <w:rPr>
          <w:rFonts w:ascii="Arial" w:eastAsia="Arial" w:hAnsi="Arial" w:cs="Arial"/>
          <w:color w:val="000000" w:themeColor="text1"/>
          <w:sz w:val="22"/>
          <w:szCs w:val="22"/>
        </w:rPr>
        <w:t>“</w:t>
      </w:r>
      <w:r w:rsidRPr="1CA20107">
        <w:rPr>
          <w:rFonts w:ascii="Arial" w:eastAsia="Arial" w:hAnsi="Arial" w:cs="Arial"/>
          <w:color w:val="000000" w:themeColor="text1"/>
          <w:sz w:val="22"/>
          <w:szCs w:val="22"/>
        </w:rPr>
        <w:t>UARIV</w:t>
      </w:r>
      <w:r w:rsidR="00C27862">
        <w:rPr>
          <w:rFonts w:ascii="Arial" w:eastAsia="Arial" w:hAnsi="Arial" w:cs="Arial"/>
          <w:color w:val="000000" w:themeColor="text1"/>
          <w:sz w:val="22"/>
          <w:szCs w:val="22"/>
        </w:rPr>
        <w:t>”</w:t>
      </w:r>
      <w:r w:rsidRPr="1CA20107">
        <w:rPr>
          <w:rFonts w:ascii="Arial" w:eastAsia="Arial" w:hAnsi="Arial" w:cs="Arial"/>
          <w:color w:val="000000" w:themeColor="text1"/>
          <w:sz w:val="22"/>
          <w:szCs w:val="22"/>
        </w:rPr>
        <w:t>.</w:t>
      </w:r>
    </w:p>
    <w:p w14:paraId="53FA2028" w14:textId="1E83DE1F" w:rsidR="33AA8CD8" w:rsidRDefault="33AA8CD8" w:rsidP="1CA20107">
      <w:pPr>
        <w:spacing w:before="240" w:after="240"/>
        <w:rPr>
          <w:rFonts w:ascii="Arial" w:eastAsia="Arial" w:hAnsi="Arial" w:cs="Arial"/>
          <w:color w:val="000000" w:themeColor="text1"/>
          <w:sz w:val="22"/>
          <w:szCs w:val="22"/>
        </w:rPr>
      </w:pPr>
      <w:r w:rsidRPr="1CA20107">
        <w:rPr>
          <w:rFonts w:ascii="Arial" w:eastAsia="Arial" w:hAnsi="Arial" w:cs="Arial"/>
          <w:b/>
          <w:bCs/>
          <w:color w:val="000000" w:themeColor="text1"/>
          <w:sz w:val="22"/>
          <w:szCs w:val="22"/>
        </w:rPr>
        <w:t>Instancias de participación:</w:t>
      </w:r>
      <w:r w:rsidRPr="1CA20107">
        <w:rPr>
          <w:rFonts w:ascii="Arial" w:eastAsia="Arial" w:hAnsi="Arial" w:cs="Arial"/>
          <w:color w:val="000000" w:themeColor="text1"/>
          <w:sz w:val="22"/>
          <w:szCs w:val="22"/>
        </w:rPr>
        <w:t xml:space="preserve"> comprende espacios deliberativos y consultivos como el </w:t>
      </w:r>
      <w:r w:rsidR="00C27862" w:rsidRPr="00C27862">
        <w:rPr>
          <w:rFonts w:ascii="Arial" w:eastAsia="Arial" w:hAnsi="Arial" w:cs="Arial"/>
          <w:color w:val="000000" w:themeColor="text1"/>
          <w:sz w:val="22"/>
          <w:szCs w:val="22"/>
        </w:rPr>
        <w:t xml:space="preserve">Comité Operativo de Envejecimiento y Vejez en Bogotá </w:t>
      </w:r>
      <w:r w:rsidR="00C27862">
        <w:rPr>
          <w:rFonts w:ascii="Arial" w:eastAsia="Arial" w:hAnsi="Arial" w:cs="Arial"/>
          <w:color w:val="000000" w:themeColor="text1"/>
          <w:sz w:val="22"/>
          <w:szCs w:val="22"/>
        </w:rPr>
        <w:t>“</w:t>
      </w:r>
      <w:r w:rsidRPr="1CA20107">
        <w:rPr>
          <w:rFonts w:ascii="Arial" w:eastAsia="Arial" w:hAnsi="Arial" w:cs="Arial"/>
          <w:color w:val="000000" w:themeColor="text1"/>
          <w:sz w:val="22"/>
          <w:szCs w:val="22"/>
        </w:rPr>
        <w:t>COEV</w:t>
      </w:r>
      <w:r w:rsidR="00C27862">
        <w:rPr>
          <w:rFonts w:ascii="Arial" w:eastAsia="Arial" w:hAnsi="Arial" w:cs="Arial"/>
          <w:color w:val="000000" w:themeColor="text1"/>
          <w:sz w:val="22"/>
          <w:szCs w:val="22"/>
        </w:rPr>
        <w:t>”</w:t>
      </w:r>
      <w:r w:rsidRPr="1CA20107">
        <w:rPr>
          <w:rFonts w:ascii="Arial" w:eastAsia="Arial" w:hAnsi="Arial" w:cs="Arial"/>
          <w:color w:val="000000" w:themeColor="text1"/>
          <w:sz w:val="22"/>
          <w:szCs w:val="22"/>
        </w:rPr>
        <w:t xml:space="preserve">, </w:t>
      </w:r>
      <w:r w:rsidR="00C27862" w:rsidRPr="00C27862">
        <w:rPr>
          <w:rFonts w:ascii="Arial" w:eastAsia="Arial" w:hAnsi="Arial" w:cs="Arial"/>
          <w:color w:val="000000" w:themeColor="text1"/>
          <w:sz w:val="22"/>
          <w:szCs w:val="22"/>
        </w:rPr>
        <w:t xml:space="preserve">Comité Operativo </w:t>
      </w:r>
      <w:r w:rsidR="00C27862">
        <w:rPr>
          <w:rFonts w:ascii="Arial" w:eastAsia="Arial" w:hAnsi="Arial" w:cs="Arial"/>
          <w:color w:val="000000" w:themeColor="text1"/>
          <w:sz w:val="22"/>
          <w:szCs w:val="22"/>
        </w:rPr>
        <w:t xml:space="preserve">Local </w:t>
      </w:r>
      <w:r w:rsidR="00C27862" w:rsidRPr="00C27862">
        <w:rPr>
          <w:rFonts w:ascii="Arial" w:eastAsia="Arial" w:hAnsi="Arial" w:cs="Arial"/>
          <w:color w:val="000000" w:themeColor="text1"/>
          <w:sz w:val="22"/>
          <w:szCs w:val="22"/>
        </w:rPr>
        <w:t xml:space="preserve">de Envejecimiento y Vejez </w:t>
      </w:r>
      <w:r w:rsidR="003A1604">
        <w:rPr>
          <w:rFonts w:ascii="Arial" w:eastAsia="Arial" w:hAnsi="Arial" w:cs="Arial"/>
          <w:color w:val="000000" w:themeColor="text1"/>
          <w:sz w:val="22"/>
          <w:szCs w:val="22"/>
        </w:rPr>
        <w:t>“</w:t>
      </w:r>
      <w:r w:rsidRPr="1CA20107">
        <w:rPr>
          <w:rFonts w:ascii="Arial" w:eastAsia="Arial" w:hAnsi="Arial" w:cs="Arial"/>
          <w:color w:val="000000" w:themeColor="text1"/>
          <w:sz w:val="22"/>
          <w:szCs w:val="22"/>
        </w:rPr>
        <w:t>COLEV</w:t>
      </w:r>
      <w:r w:rsidR="003A1604">
        <w:rPr>
          <w:rFonts w:ascii="Arial" w:eastAsia="Arial" w:hAnsi="Arial" w:cs="Arial"/>
          <w:color w:val="000000" w:themeColor="text1"/>
          <w:sz w:val="22"/>
          <w:szCs w:val="22"/>
        </w:rPr>
        <w:t>”</w:t>
      </w:r>
      <w:r w:rsidRPr="1CA20107">
        <w:rPr>
          <w:rFonts w:ascii="Arial" w:eastAsia="Arial" w:hAnsi="Arial" w:cs="Arial"/>
          <w:color w:val="000000" w:themeColor="text1"/>
          <w:sz w:val="22"/>
          <w:szCs w:val="22"/>
        </w:rPr>
        <w:t xml:space="preserve">, </w:t>
      </w:r>
      <w:r w:rsidR="00C27862" w:rsidRPr="00C27862">
        <w:rPr>
          <w:rFonts w:ascii="Arial" w:eastAsia="Arial" w:hAnsi="Arial" w:cs="Arial"/>
          <w:color w:val="000000" w:themeColor="text1"/>
          <w:sz w:val="22"/>
          <w:szCs w:val="22"/>
        </w:rPr>
        <w:t xml:space="preserve">Comité Local para las familias </w:t>
      </w:r>
      <w:r w:rsidR="00C27862">
        <w:rPr>
          <w:rFonts w:ascii="Arial" w:eastAsia="Arial" w:hAnsi="Arial" w:cs="Arial"/>
          <w:color w:val="000000" w:themeColor="text1"/>
          <w:sz w:val="22"/>
          <w:szCs w:val="22"/>
        </w:rPr>
        <w:t>“</w:t>
      </w:r>
      <w:r w:rsidRPr="1CA20107">
        <w:rPr>
          <w:rFonts w:ascii="Arial" w:eastAsia="Arial" w:hAnsi="Arial" w:cs="Arial"/>
          <w:color w:val="000000" w:themeColor="text1"/>
          <w:sz w:val="22"/>
          <w:szCs w:val="22"/>
        </w:rPr>
        <w:t>COLFA</w:t>
      </w:r>
      <w:r w:rsidR="00C27862">
        <w:rPr>
          <w:rFonts w:ascii="Arial" w:eastAsia="Arial" w:hAnsi="Arial" w:cs="Arial"/>
          <w:color w:val="000000" w:themeColor="text1"/>
          <w:sz w:val="22"/>
          <w:szCs w:val="22"/>
        </w:rPr>
        <w:t>”</w:t>
      </w:r>
      <w:r w:rsidRPr="1CA20107">
        <w:rPr>
          <w:rFonts w:ascii="Arial" w:eastAsia="Arial" w:hAnsi="Arial" w:cs="Arial"/>
          <w:color w:val="000000" w:themeColor="text1"/>
          <w:sz w:val="22"/>
          <w:szCs w:val="22"/>
        </w:rPr>
        <w:t xml:space="preserve"> y los consejos distritales y locales de política social, sabios, juventud, discapacidad, planeación, cultura, patrimonio, buen trato y consultivos étnicos.</w:t>
      </w:r>
    </w:p>
    <w:p w14:paraId="0C0BD572" w14:textId="36A2DF1E" w:rsidR="33AA8CD8" w:rsidRDefault="33AA8CD8" w:rsidP="1CA20107">
      <w:pPr>
        <w:spacing w:before="240" w:after="240"/>
        <w:rPr>
          <w:rFonts w:ascii="Arial" w:eastAsia="Arial" w:hAnsi="Arial" w:cs="Arial"/>
          <w:color w:val="000000" w:themeColor="text1"/>
          <w:sz w:val="22"/>
          <w:szCs w:val="22"/>
        </w:rPr>
      </w:pPr>
      <w:r w:rsidRPr="1CA20107">
        <w:rPr>
          <w:rFonts w:ascii="Arial" w:eastAsia="Arial" w:hAnsi="Arial" w:cs="Arial"/>
          <w:b/>
          <w:bCs/>
          <w:color w:val="000000" w:themeColor="text1"/>
          <w:sz w:val="22"/>
          <w:szCs w:val="22"/>
        </w:rPr>
        <w:t>Academia:</w:t>
      </w:r>
      <w:r w:rsidRPr="1CA20107">
        <w:rPr>
          <w:rFonts w:ascii="Arial" w:eastAsia="Arial" w:hAnsi="Arial" w:cs="Arial"/>
          <w:color w:val="000000" w:themeColor="text1"/>
          <w:sz w:val="22"/>
          <w:szCs w:val="22"/>
        </w:rPr>
        <w:t xml:space="preserve"> reúne observatorios de envejecimiento y vejez, universidades líderes (Javeriana, Andes, Rosario, Nacional, UNIMINUTO, Pedagógica, El Bosque, Sabana) e investigadores especializados en gerontología.</w:t>
      </w:r>
    </w:p>
    <w:p w14:paraId="52D3F3BA" w14:textId="684CB743" w:rsidR="33AA8CD8" w:rsidRDefault="33AA8CD8" w:rsidP="1CA20107">
      <w:pPr>
        <w:spacing w:before="240" w:after="240"/>
        <w:rPr>
          <w:rFonts w:ascii="Arial" w:eastAsia="Arial" w:hAnsi="Arial" w:cs="Arial"/>
          <w:color w:val="000000" w:themeColor="text1"/>
          <w:sz w:val="22"/>
          <w:szCs w:val="22"/>
        </w:rPr>
      </w:pPr>
      <w:r w:rsidRPr="1CA20107">
        <w:rPr>
          <w:rFonts w:ascii="Arial" w:eastAsia="Arial" w:hAnsi="Arial" w:cs="Arial"/>
          <w:b/>
          <w:bCs/>
          <w:color w:val="000000" w:themeColor="text1"/>
          <w:sz w:val="22"/>
          <w:szCs w:val="22"/>
        </w:rPr>
        <w:lastRenderedPageBreak/>
        <w:t>Sector privado:</w:t>
      </w:r>
      <w:r w:rsidRPr="1CA20107">
        <w:rPr>
          <w:rFonts w:ascii="Arial" w:eastAsia="Arial" w:hAnsi="Arial" w:cs="Arial"/>
          <w:color w:val="000000" w:themeColor="text1"/>
          <w:sz w:val="22"/>
          <w:szCs w:val="22"/>
        </w:rPr>
        <w:t xml:space="preserve"> agrupa cajas de compensación, fondos de pensiones, empresas</w:t>
      </w:r>
      <w:r w:rsidR="16F123A2" w:rsidRPr="1CA20107">
        <w:rPr>
          <w:rFonts w:ascii="Arial" w:eastAsia="Arial" w:hAnsi="Arial" w:cs="Arial"/>
          <w:color w:val="000000" w:themeColor="text1"/>
          <w:sz w:val="22"/>
          <w:szCs w:val="22"/>
        </w:rPr>
        <w:t xml:space="preserve"> </w:t>
      </w:r>
      <w:r w:rsidRPr="1CA20107">
        <w:rPr>
          <w:rFonts w:ascii="Arial" w:eastAsia="Arial" w:hAnsi="Arial" w:cs="Arial"/>
          <w:color w:val="000000" w:themeColor="text1"/>
          <w:sz w:val="22"/>
          <w:szCs w:val="22"/>
        </w:rPr>
        <w:t xml:space="preserve">de servicios para </w:t>
      </w:r>
      <w:r w:rsidR="265801CD" w:rsidRPr="1CA20107">
        <w:rPr>
          <w:rFonts w:ascii="Arial" w:eastAsia="Arial" w:hAnsi="Arial" w:cs="Arial"/>
          <w:color w:val="000000" w:themeColor="text1"/>
          <w:sz w:val="22"/>
          <w:szCs w:val="22"/>
        </w:rPr>
        <w:t xml:space="preserve">personas </w:t>
      </w:r>
      <w:r w:rsidRPr="1CA20107">
        <w:rPr>
          <w:rFonts w:ascii="Arial" w:eastAsia="Arial" w:hAnsi="Arial" w:cs="Arial"/>
          <w:color w:val="000000" w:themeColor="text1"/>
          <w:sz w:val="22"/>
          <w:szCs w:val="22"/>
        </w:rPr>
        <w:t xml:space="preserve">mayores, Asociación de Usuarios </w:t>
      </w:r>
      <w:r w:rsidR="00C27862">
        <w:rPr>
          <w:rFonts w:ascii="Arial" w:eastAsia="Arial" w:hAnsi="Arial" w:cs="Arial"/>
          <w:color w:val="000000" w:themeColor="text1"/>
          <w:sz w:val="22"/>
          <w:szCs w:val="22"/>
        </w:rPr>
        <w:t xml:space="preserve">de las </w:t>
      </w:r>
      <w:r w:rsidR="00C27862" w:rsidRPr="00C27862">
        <w:rPr>
          <w:rFonts w:ascii="Arial" w:eastAsia="Arial" w:hAnsi="Arial" w:cs="Arial"/>
          <w:color w:val="000000" w:themeColor="text1"/>
          <w:sz w:val="22"/>
          <w:szCs w:val="22"/>
        </w:rPr>
        <w:t>Entidad</w:t>
      </w:r>
      <w:r w:rsidR="00C27862">
        <w:rPr>
          <w:rFonts w:ascii="Arial" w:eastAsia="Arial" w:hAnsi="Arial" w:cs="Arial"/>
          <w:color w:val="000000" w:themeColor="text1"/>
          <w:sz w:val="22"/>
          <w:szCs w:val="22"/>
        </w:rPr>
        <w:t>es</w:t>
      </w:r>
      <w:r w:rsidR="00C27862" w:rsidRPr="00C27862">
        <w:rPr>
          <w:rFonts w:ascii="Arial" w:eastAsia="Arial" w:hAnsi="Arial" w:cs="Arial"/>
          <w:color w:val="000000" w:themeColor="text1"/>
          <w:sz w:val="22"/>
          <w:szCs w:val="22"/>
        </w:rPr>
        <w:t xml:space="preserve"> Promotora</w:t>
      </w:r>
      <w:r w:rsidR="00C27862">
        <w:rPr>
          <w:rFonts w:ascii="Arial" w:eastAsia="Arial" w:hAnsi="Arial" w:cs="Arial"/>
          <w:color w:val="000000" w:themeColor="text1"/>
          <w:sz w:val="22"/>
          <w:szCs w:val="22"/>
        </w:rPr>
        <w:t>s</w:t>
      </w:r>
      <w:r w:rsidR="00C27862" w:rsidRPr="00C27862">
        <w:rPr>
          <w:rFonts w:ascii="Arial" w:eastAsia="Arial" w:hAnsi="Arial" w:cs="Arial"/>
          <w:color w:val="000000" w:themeColor="text1"/>
          <w:sz w:val="22"/>
          <w:szCs w:val="22"/>
        </w:rPr>
        <w:t xml:space="preserve"> de Salud </w:t>
      </w:r>
      <w:r w:rsidR="00C27862">
        <w:rPr>
          <w:rFonts w:ascii="Arial" w:eastAsia="Arial" w:hAnsi="Arial" w:cs="Arial"/>
          <w:color w:val="000000" w:themeColor="text1"/>
          <w:sz w:val="22"/>
          <w:szCs w:val="22"/>
        </w:rPr>
        <w:t>“</w:t>
      </w:r>
      <w:r w:rsidRPr="1CA20107">
        <w:rPr>
          <w:rFonts w:ascii="Arial" w:eastAsia="Arial" w:hAnsi="Arial" w:cs="Arial"/>
          <w:color w:val="000000" w:themeColor="text1"/>
          <w:sz w:val="22"/>
          <w:szCs w:val="22"/>
        </w:rPr>
        <w:t>EPS</w:t>
      </w:r>
      <w:r w:rsidR="00C27862">
        <w:rPr>
          <w:rFonts w:ascii="Arial" w:eastAsia="Arial" w:hAnsi="Arial" w:cs="Arial"/>
          <w:color w:val="000000" w:themeColor="text1"/>
          <w:sz w:val="22"/>
          <w:szCs w:val="22"/>
        </w:rPr>
        <w:t>”</w:t>
      </w:r>
      <w:r w:rsidRPr="1CA20107">
        <w:rPr>
          <w:rFonts w:ascii="Arial" w:eastAsia="Arial" w:hAnsi="Arial" w:cs="Arial"/>
          <w:color w:val="000000" w:themeColor="text1"/>
          <w:sz w:val="22"/>
          <w:szCs w:val="22"/>
        </w:rPr>
        <w:t xml:space="preserve">, Cámara de Comercio, Banco de Alimentos, </w:t>
      </w:r>
      <w:r w:rsidR="00C27862" w:rsidRPr="00C27862">
        <w:rPr>
          <w:rFonts w:ascii="Arial" w:eastAsia="Arial" w:hAnsi="Arial" w:cs="Arial"/>
          <w:color w:val="000000" w:themeColor="text1"/>
          <w:sz w:val="22"/>
          <w:szCs w:val="22"/>
        </w:rPr>
        <w:t xml:space="preserve">Centro de Psicología Gerontológica </w:t>
      </w:r>
      <w:r w:rsidR="00C27862">
        <w:rPr>
          <w:rFonts w:ascii="Arial" w:eastAsia="Arial" w:hAnsi="Arial" w:cs="Arial"/>
          <w:color w:val="000000" w:themeColor="text1"/>
          <w:sz w:val="22"/>
          <w:szCs w:val="22"/>
        </w:rPr>
        <w:t>“</w:t>
      </w:r>
      <w:r w:rsidRPr="1CA20107">
        <w:rPr>
          <w:rFonts w:ascii="Arial" w:eastAsia="Arial" w:hAnsi="Arial" w:cs="Arial"/>
          <w:color w:val="000000" w:themeColor="text1"/>
          <w:sz w:val="22"/>
          <w:szCs w:val="22"/>
        </w:rPr>
        <w:t>CESPSIGER</w:t>
      </w:r>
      <w:r w:rsidR="00C27862">
        <w:rPr>
          <w:rFonts w:ascii="Arial" w:eastAsia="Arial" w:hAnsi="Arial" w:cs="Arial"/>
          <w:color w:val="000000" w:themeColor="text1"/>
          <w:sz w:val="22"/>
          <w:szCs w:val="22"/>
        </w:rPr>
        <w:t>”</w:t>
      </w:r>
      <w:r w:rsidRPr="1CA20107">
        <w:rPr>
          <w:rFonts w:ascii="Arial" w:eastAsia="Arial" w:hAnsi="Arial" w:cs="Arial"/>
          <w:color w:val="000000" w:themeColor="text1"/>
          <w:sz w:val="22"/>
          <w:szCs w:val="22"/>
        </w:rPr>
        <w:t>, hogares geriátricos, y fundaciones u ONG como Saldarriaga Concha, HelpAge e Ideas para la Vejez.</w:t>
      </w:r>
    </w:p>
    <w:p w14:paraId="5C89048E" w14:textId="4E6FAF47" w:rsidR="382D743B" w:rsidRDefault="382D743B" w:rsidP="1CA20107">
      <w:pPr>
        <w:spacing w:before="240" w:after="240"/>
        <w:rPr>
          <w:rFonts w:ascii="Arial" w:eastAsia="Arial" w:hAnsi="Arial" w:cs="Arial"/>
          <w:color w:val="000000" w:themeColor="text1"/>
          <w:sz w:val="22"/>
          <w:szCs w:val="22"/>
        </w:rPr>
      </w:pPr>
      <w:r w:rsidRPr="27E62D1E">
        <w:rPr>
          <w:rFonts w:ascii="Arial" w:eastAsia="Arial" w:hAnsi="Arial" w:cs="Arial"/>
          <w:color w:val="000000" w:themeColor="text1"/>
          <w:sz w:val="22"/>
          <w:szCs w:val="22"/>
        </w:rPr>
        <w:t>En concordancia con el documento CONPES 19 del 11 de mayo de 2022, que actualiza el Plan de Acción de la Política, se establece que múltiples sectores y entidades deben asumir corresponsabilidades específicas en este proceso, garantizando así un abordaje integral e intersectorial del envejecimiento y la vejez en el Distrito.</w:t>
      </w:r>
    </w:p>
    <w:p w14:paraId="3251330C" w14:textId="711378C7" w:rsidR="00A81937" w:rsidRDefault="00306868" w:rsidP="00CC235A">
      <w:pPr>
        <w:pStyle w:val="Prrafodelista"/>
        <w:numPr>
          <w:ilvl w:val="0"/>
          <w:numId w:val="34"/>
        </w:numPr>
        <w:spacing w:before="240" w:after="240"/>
        <w:rPr>
          <w:rFonts w:ascii="Arial" w:hAnsi="Arial" w:cs="Arial"/>
          <w:b/>
          <w:bCs/>
          <w:color w:val="000000" w:themeColor="text1"/>
          <w:sz w:val="22"/>
          <w:szCs w:val="22"/>
        </w:rPr>
      </w:pPr>
      <w:r w:rsidRPr="00CC235A">
        <w:rPr>
          <w:rFonts w:ascii="Arial" w:hAnsi="Arial" w:cs="Arial"/>
          <w:b/>
          <w:bCs/>
          <w:color w:val="000000" w:themeColor="text1"/>
          <w:sz w:val="22"/>
          <w:szCs w:val="22"/>
        </w:rPr>
        <w:t>Presentar Estrategia de participación</w:t>
      </w:r>
    </w:p>
    <w:p w14:paraId="44356FF1" w14:textId="77777777" w:rsidR="00CC235A" w:rsidRPr="00CC235A" w:rsidRDefault="00CC235A" w:rsidP="00CC235A">
      <w:pPr>
        <w:pStyle w:val="Prrafodelista"/>
        <w:spacing w:before="240" w:after="240"/>
        <w:ind w:left="360"/>
        <w:rPr>
          <w:rFonts w:ascii="Arial" w:hAnsi="Arial" w:cs="Arial"/>
          <w:b/>
          <w:bCs/>
          <w:color w:val="000000" w:themeColor="text1"/>
          <w:sz w:val="22"/>
          <w:szCs w:val="22"/>
        </w:rPr>
      </w:pPr>
    </w:p>
    <w:p w14:paraId="459395FA" w14:textId="7CF571C9" w:rsidR="00A81937" w:rsidRPr="00CC235A" w:rsidRDefault="229EE939" w:rsidP="00CC235A">
      <w:pPr>
        <w:pStyle w:val="Prrafodelista"/>
        <w:numPr>
          <w:ilvl w:val="1"/>
          <w:numId w:val="34"/>
        </w:numPr>
        <w:spacing w:before="240" w:after="240"/>
        <w:rPr>
          <w:rFonts w:ascii="Arial" w:eastAsia="Arial" w:hAnsi="Arial" w:cs="Arial"/>
          <w:b/>
          <w:bCs/>
          <w:color w:val="000000" w:themeColor="text1"/>
          <w:sz w:val="22"/>
          <w:szCs w:val="22"/>
        </w:rPr>
      </w:pPr>
      <w:r w:rsidRPr="00CC235A">
        <w:rPr>
          <w:rFonts w:ascii="Arial" w:eastAsia="Arial" w:hAnsi="Arial" w:cs="Arial"/>
          <w:b/>
          <w:bCs/>
          <w:color w:val="000000" w:themeColor="text1"/>
          <w:sz w:val="22"/>
          <w:szCs w:val="22"/>
        </w:rPr>
        <w:t>Objetivo principal</w:t>
      </w:r>
    </w:p>
    <w:p w14:paraId="54092ACA" w14:textId="6CB509CA" w:rsidR="006607FD" w:rsidRPr="006607FD" w:rsidRDefault="006607FD" w:rsidP="1CA20107">
      <w:pPr>
        <w:spacing w:before="240" w:after="240"/>
        <w:rPr>
          <w:rFonts w:ascii="Arial" w:eastAsia="Arial" w:hAnsi="Arial" w:cs="Arial"/>
          <w:color w:val="000000" w:themeColor="text1"/>
          <w:sz w:val="22"/>
          <w:szCs w:val="22"/>
        </w:rPr>
      </w:pPr>
      <w:r w:rsidRPr="006607FD">
        <w:rPr>
          <w:rFonts w:ascii="Arial" w:eastAsia="Arial" w:hAnsi="Arial" w:cs="Arial"/>
          <w:color w:val="000000" w:themeColor="text1"/>
          <w:sz w:val="22"/>
          <w:szCs w:val="22"/>
        </w:rPr>
        <w:t xml:space="preserve">Diseñar e implementar una estrategia de participación que </w:t>
      </w:r>
      <w:r w:rsidR="00DA343C">
        <w:rPr>
          <w:rFonts w:ascii="Arial" w:eastAsia="Arial" w:hAnsi="Arial" w:cs="Arial"/>
          <w:color w:val="000000" w:themeColor="text1"/>
          <w:sz w:val="22"/>
          <w:szCs w:val="22"/>
        </w:rPr>
        <w:t>fomente</w:t>
      </w:r>
      <w:r>
        <w:rPr>
          <w:rFonts w:ascii="Arial" w:eastAsia="Arial" w:hAnsi="Arial" w:cs="Arial"/>
          <w:color w:val="000000" w:themeColor="text1"/>
          <w:sz w:val="22"/>
          <w:szCs w:val="22"/>
        </w:rPr>
        <w:t xml:space="preserve"> </w:t>
      </w:r>
      <w:r w:rsidRPr="006607FD">
        <w:rPr>
          <w:rFonts w:ascii="Arial" w:eastAsia="Arial" w:hAnsi="Arial" w:cs="Arial"/>
          <w:color w:val="000000" w:themeColor="text1"/>
          <w:sz w:val="22"/>
          <w:szCs w:val="22"/>
        </w:rPr>
        <w:t>la inclusión efectiva de la ciudadanía con sentido social de concertación amplia, incidente y representativa en el proceso de la formulación de la Política Pública Social para el Envejecimiento y la Vejez en Bogotá D.C.</w:t>
      </w:r>
      <w:r w:rsidR="00C27862">
        <w:rPr>
          <w:rFonts w:ascii="Arial" w:eastAsia="Arial" w:hAnsi="Arial" w:cs="Arial"/>
          <w:color w:val="000000" w:themeColor="text1"/>
          <w:sz w:val="22"/>
          <w:szCs w:val="22"/>
        </w:rPr>
        <w:t xml:space="preserve"> </w:t>
      </w:r>
      <w:r w:rsidRPr="006607FD">
        <w:rPr>
          <w:rFonts w:ascii="Arial" w:eastAsia="Arial" w:hAnsi="Arial" w:cs="Arial"/>
          <w:color w:val="000000" w:themeColor="text1"/>
          <w:sz w:val="22"/>
          <w:szCs w:val="22"/>
        </w:rPr>
        <w:t>2026-2036, promoviendo los enfoques de derechos, de género, diferencial, poblacional, territorial, étnico, ambiental y democrático, con el fin de generar una equidad intergeneracional, corresponsabilidad institucional y garantía de derechos y autorrealización para las personas mayores de hoy y del futuro en el Distrito Capital.</w:t>
      </w:r>
    </w:p>
    <w:p w14:paraId="53C30F9C" w14:textId="77777777" w:rsidR="00CC235A" w:rsidRDefault="229EE939" w:rsidP="00CC235A">
      <w:pPr>
        <w:pStyle w:val="Prrafodelista"/>
        <w:numPr>
          <w:ilvl w:val="1"/>
          <w:numId w:val="34"/>
        </w:numPr>
        <w:spacing w:before="240" w:after="240"/>
        <w:rPr>
          <w:rFonts w:ascii="Arial" w:eastAsia="Arial" w:hAnsi="Arial" w:cs="Arial"/>
          <w:b/>
          <w:bCs/>
          <w:color w:val="000000" w:themeColor="text1"/>
          <w:sz w:val="22"/>
          <w:szCs w:val="22"/>
        </w:rPr>
      </w:pPr>
      <w:r w:rsidRPr="00CC235A">
        <w:rPr>
          <w:rFonts w:ascii="Arial" w:eastAsia="Arial" w:hAnsi="Arial" w:cs="Arial"/>
          <w:b/>
          <w:bCs/>
          <w:color w:val="000000" w:themeColor="text1"/>
          <w:sz w:val="22"/>
          <w:szCs w:val="22"/>
        </w:rPr>
        <w:t>Alcance</w:t>
      </w:r>
    </w:p>
    <w:p w14:paraId="60A918BA" w14:textId="057AD17B" w:rsidR="00DA343C" w:rsidRPr="00CC235A" w:rsidRDefault="00DA343C" w:rsidP="00CC235A">
      <w:pPr>
        <w:spacing w:before="240" w:after="240"/>
        <w:rPr>
          <w:rFonts w:ascii="Arial" w:eastAsia="Arial" w:hAnsi="Arial" w:cs="Arial"/>
          <w:b/>
          <w:bCs/>
          <w:color w:val="000000" w:themeColor="text1"/>
          <w:sz w:val="22"/>
          <w:szCs w:val="22"/>
        </w:rPr>
      </w:pPr>
      <w:r w:rsidRPr="00CC235A">
        <w:rPr>
          <w:rFonts w:ascii="Arial" w:eastAsia="Arial" w:hAnsi="Arial" w:cs="Arial"/>
          <w:color w:val="000000" w:themeColor="text1"/>
          <w:sz w:val="22"/>
          <w:szCs w:val="22"/>
        </w:rPr>
        <w:t>El proceso participativo de la Política Pública tendrá un alcance, amplio y representativo, que busca involucrar actores del nivel nacional, distrital y local, clasificados según su nivel de incidencia en las categorías: información (muy poco incidente), consulta (más o menos incidente) y concertación (muy incidente). Esta categorización permite planificar actividades, metodologías y espacios según las capacidades de influencia y los roles específicos de los actores identificados, con el fin de responder las necesidades y expectativas de las personas mayores que respalden técnicamente la toma de decisiones de la Política Pública.</w:t>
      </w:r>
    </w:p>
    <w:p w14:paraId="39AA8531" w14:textId="77777777" w:rsidR="00A81937" w:rsidRPr="00CC235A" w:rsidRDefault="229EE939" w:rsidP="00CC235A">
      <w:pPr>
        <w:pStyle w:val="Prrafodelista"/>
        <w:numPr>
          <w:ilvl w:val="1"/>
          <w:numId w:val="34"/>
        </w:numPr>
        <w:spacing w:before="240" w:after="240"/>
        <w:rPr>
          <w:rFonts w:ascii="Arial" w:eastAsia="Arial" w:hAnsi="Arial" w:cs="Arial"/>
          <w:b/>
          <w:bCs/>
          <w:color w:val="000000" w:themeColor="text1"/>
          <w:sz w:val="22"/>
          <w:szCs w:val="22"/>
        </w:rPr>
      </w:pPr>
      <w:r w:rsidRPr="00CC235A">
        <w:rPr>
          <w:rFonts w:ascii="Arial" w:eastAsia="Arial" w:hAnsi="Arial" w:cs="Arial"/>
          <w:b/>
          <w:bCs/>
          <w:color w:val="000000" w:themeColor="text1"/>
          <w:sz w:val="22"/>
          <w:szCs w:val="22"/>
        </w:rPr>
        <w:t>Estrategia y metodología</w:t>
      </w:r>
    </w:p>
    <w:p w14:paraId="3B3AFBA5" w14:textId="5DC47441" w:rsidR="00F609D9" w:rsidRPr="00F609D9" w:rsidRDefault="229EE939" w:rsidP="1CA20107">
      <w:pPr>
        <w:spacing w:before="240" w:after="240"/>
        <w:rPr>
          <w:rFonts w:ascii="Arial" w:eastAsia="Arial" w:hAnsi="Arial" w:cs="Arial"/>
          <w:color w:val="000000" w:themeColor="text1"/>
          <w:sz w:val="22"/>
          <w:szCs w:val="22"/>
        </w:rPr>
      </w:pPr>
      <w:r w:rsidRPr="1CA20107">
        <w:rPr>
          <w:rFonts w:ascii="Arial" w:eastAsia="Arial" w:hAnsi="Arial" w:cs="Arial"/>
          <w:color w:val="000000" w:themeColor="text1"/>
          <w:sz w:val="22"/>
          <w:szCs w:val="22"/>
        </w:rPr>
        <w:t>Con base en el mapeo de actores realizado, se diseñó una ruta participativa amplia que garantiza la inclusión de diversos sectores:</w:t>
      </w:r>
      <w:r w:rsidR="4473656D" w:rsidRPr="1CA20107">
        <w:rPr>
          <w:rFonts w:ascii="Arial" w:eastAsia="Arial" w:hAnsi="Arial" w:cs="Arial"/>
          <w:color w:val="000000" w:themeColor="text1"/>
          <w:sz w:val="22"/>
          <w:szCs w:val="22"/>
        </w:rPr>
        <w:t xml:space="preserve"> sociedad civil, organizaciones de base y comunitarias, sector público, academia, instancias de participación y sector privado.</w:t>
      </w:r>
      <w:r w:rsidRPr="1CA20107">
        <w:rPr>
          <w:rFonts w:ascii="Arial" w:eastAsia="Arial" w:hAnsi="Arial" w:cs="Arial"/>
          <w:color w:val="000000" w:themeColor="text1"/>
          <w:sz w:val="22"/>
          <w:szCs w:val="22"/>
        </w:rPr>
        <w:t xml:space="preserve"> Esta ruta se desarrollará a lo largo de las fases de diagnóstico y formulación de la política.</w:t>
      </w:r>
    </w:p>
    <w:p w14:paraId="19F9138A" w14:textId="1F39627B" w:rsidR="00F609D9" w:rsidRPr="00F609D9" w:rsidRDefault="229EE939" w:rsidP="1CA20107">
      <w:pPr>
        <w:spacing w:before="240" w:after="240"/>
        <w:rPr>
          <w:rFonts w:ascii="Arial" w:eastAsia="Arial" w:hAnsi="Arial" w:cs="Arial"/>
          <w:color w:val="000000" w:themeColor="text1"/>
          <w:sz w:val="22"/>
          <w:szCs w:val="22"/>
        </w:rPr>
      </w:pPr>
      <w:r w:rsidRPr="27E62D1E">
        <w:rPr>
          <w:rFonts w:ascii="Arial" w:eastAsia="Arial" w:hAnsi="Arial" w:cs="Arial"/>
          <w:color w:val="000000" w:themeColor="text1"/>
          <w:sz w:val="22"/>
          <w:szCs w:val="22"/>
        </w:rPr>
        <w:t>Los mecanismos de participación varían según el perfil de cada actor e incluyen: talleres participativos en las 20 localidades, grupos focales, p</w:t>
      </w:r>
      <w:r w:rsidR="5E125CDE" w:rsidRPr="27E62D1E">
        <w:rPr>
          <w:rFonts w:ascii="Arial" w:eastAsia="Arial" w:hAnsi="Arial" w:cs="Arial"/>
          <w:color w:val="000000" w:themeColor="text1"/>
          <w:sz w:val="22"/>
          <w:szCs w:val="22"/>
        </w:rPr>
        <w:t>a</w:t>
      </w:r>
      <w:r w:rsidRPr="27E62D1E">
        <w:rPr>
          <w:rFonts w:ascii="Arial" w:eastAsia="Arial" w:hAnsi="Arial" w:cs="Arial"/>
          <w:color w:val="000000" w:themeColor="text1"/>
          <w:sz w:val="22"/>
          <w:szCs w:val="22"/>
        </w:rPr>
        <w:t xml:space="preserve">neles con expertos, encuestas digitales y presenciales, foros intergeneracionales, mesas técnicas intersectoriales, actividades lúdico-creativas </w:t>
      </w:r>
      <w:r w:rsidR="00551E41">
        <w:rPr>
          <w:rFonts w:ascii="Arial" w:eastAsia="Arial" w:hAnsi="Arial" w:cs="Arial"/>
          <w:color w:val="000000" w:themeColor="text1"/>
          <w:sz w:val="22"/>
          <w:szCs w:val="22"/>
        </w:rPr>
        <w:t xml:space="preserve">apoyados </w:t>
      </w:r>
      <w:r w:rsidRPr="27E62D1E">
        <w:rPr>
          <w:rFonts w:ascii="Arial" w:eastAsia="Arial" w:hAnsi="Arial" w:cs="Arial"/>
          <w:color w:val="000000" w:themeColor="text1"/>
          <w:sz w:val="22"/>
          <w:szCs w:val="22"/>
        </w:rPr>
        <w:t>en</w:t>
      </w:r>
      <w:r w:rsidR="00551E41">
        <w:rPr>
          <w:rFonts w:ascii="Arial" w:eastAsia="Arial" w:hAnsi="Arial" w:cs="Arial"/>
          <w:color w:val="000000" w:themeColor="text1"/>
          <w:sz w:val="22"/>
          <w:szCs w:val="22"/>
        </w:rPr>
        <w:t xml:space="preserve"> los servicios prestados por la administración distrital a personas mayores</w:t>
      </w:r>
      <w:r w:rsidRPr="27E62D1E">
        <w:rPr>
          <w:rFonts w:ascii="Arial" w:eastAsia="Arial" w:hAnsi="Arial" w:cs="Arial"/>
          <w:color w:val="000000" w:themeColor="text1"/>
          <w:sz w:val="22"/>
          <w:szCs w:val="22"/>
        </w:rPr>
        <w:t>, conversatorios, quioscos interactivos, herramientas digitales tipo “chatico”, y murales de visión a futuro.</w:t>
      </w:r>
    </w:p>
    <w:p w14:paraId="6B62650A" w14:textId="6D83C1E9" w:rsidR="00F609D9" w:rsidRPr="00F609D9" w:rsidRDefault="229EE939" w:rsidP="1CA20107">
      <w:pPr>
        <w:spacing w:before="240" w:after="240"/>
        <w:rPr>
          <w:rFonts w:ascii="Arial" w:eastAsia="Arial" w:hAnsi="Arial" w:cs="Arial"/>
          <w:color w:val="000000" w:themeColor="text1"/>
          <w:sz w:val="22"/>
          <w:szCs w:val="22"/>
        </w:rPr>
      </w:pPr>
      <w:r w:rsidRPr="362874ED">
        <w:rPr>
          <w:rFonts w:ascii="Arial" w:eastAsia="Arial" w:hAnsi="Arial" w:cs="Arial"/>
          <w:color w:val="000000" w:themeColor="text1"/>
          <w:sz w:val="22"/>
          <w:szCs w:val="22"/>
        </w:rPr>
        <w:t xml:space="preserve">Se generará el diseño de instrumentos de recolección de información, protocolos de aplicabilidad y escenarios adaptados a cada </w:t>
      </w:r>
      <w:r w:rsidR="00551E41">
        <w:rPr>
          <w:rFonts w:ascii="Arial" w:eastAsia="Arial" w:hAnsi="Arial" w:cs="Arial"/>
          <w:color w:val="000000" w:themeColor="text1"/>
          <w:sz w:val="22"/>
          <w:szCs w:val="22"/>
        </w:rPr>
        <w:t>actor</w:t>
      </w:r>
      <w:r w:rsidRPr="362874ED">
        <w:rPr>
          <w:rFonts w:ascii="Arial" w:eastAsia="Arial" w:hAnsi="Arial" w:cs="Arial"/>
          <w:color w:val="000000" w:themeColor="text1"/>
          <w:sz w:val="22"/>
          <w:szCs w:val="22"/>
        </w:rPr>
        <w:t xml:space="preserve"> Las metodologías se basan en técnicas </w:t>
      </w:r>
      <w:r w:rsidRPr="362874ED">
        <w:rPr>
          <w:rFonts w:ascii="Arial" w:eastAsia="Arial" w:hAnsi="Arial" w:cs="Arial"/>
          <w:color w:val="000000" w:themeColor="text1"/>
          <w:sz w:val="22"/>
          <w:szCs w:val="22"/>
        </w:rPr>
        <w:lastRenderedPageBreak/>
        <w:t xml:space="preserve">cualitativas y cuantitativas, aplicadas según características del actor participante. Se utilizarán herramientas como matrices de análisis, relatorías, protocolos para facilitadores, cajas de herramientas de la </w:t>
      </w:r>
      <w:r w:rsidR="00C27862" w:rsidRPr="00C27862">
        <w:rPr>
          <w:rFonts w:ascii="Arial" w:eastAsia="Arial" w:hAnsi="Arial" w:cs="Arial"/>
          <w:color w:val="000000" w:themeColor="text1"/>
          <w:sz w:val="22"/>
          <w:szCs w:val="22"/>
        </w:rPr>
        <w:t xml:space="preserve">Secretaría Distrital de Planeación </w:t>
      </w:r>
      <w:r w:rsidR="00C27862">
        <w:rPr>
          <w:rFonts w:ascii="Arial" w:eastAsia="Arial" w:hAnsi="Arial" w:cs="Arial"/>
          <w:color w:val="000000" w:themeColor="text1"/>
          <w:sz w:val="22"/>
          <w:szCs w:val="22"/>
        </w:rPr>
        <w:t>“</w:t>
      </w:r>
      <w:r w:rsidRPr="362874ED">
        <w:rPr>
          <w:rFonts w:ascii="Arial" w:eastAsia="Arial" w:hAnsi="Arial" w:cs="Arial"/>
          <w:color w:val="000000" w:themeColor="text1"/>
          <w:sz w:val="22"/>
          <w:szCs w:val="22"/>
        </w:rPr>
        <w:t>SDP</w:t>
      </w:r>
      <w:r w:rsidR="00C27862">
        <w:rPr>
          <w:rFonts w:ascii="Arial" w:eastAsia="Arial" w:hAnsi="Arial" w:cs="Arial"/>
          <w:color w:val="000000" w:themeColor="text1"/>
          <w:sz w:val="22"/>
          <w:szCs w:val="22"/>
        </w:rPr>
        <w:t>”</w:t>
      </w:r>
      <w:r w:rsidRPr="362874ED">
        <w:rPr>
          <w:rFonts w:ascii="Arial" w:eastAsia="Arial" w:hAnsi="Arial" w:cs="Arial"/>
          <w:color w:val="000000" w:themeColor="text1"/>
          <w:sz w:val="22"/>
          <w:szCs w:val="22"/>
        </w:rPr>
        <w:t xml:space="preserve"> y formatos de sistematización propios de la Subdirección para la Vejez. Se tendrá enfoque territorial mediante una estrategia sectorizada por localidad, considerando variables como densidad poblacional de envejecimiento (alta, media o baja).</w:t>
      </w:r>
    </w:p>
    <w:p w14:paraId="773D789B" w14:textId="77777777" w:rsidR="00B95C47" w:rsidRPr="00CC235A" w:rsidRDefault="229EE939" w:rsidP="00CC235A">
      <w:pPr>
        <w:pStyle w:val="Prrafodelista"/>
        <w:numPr>
          <w:ilvl w:val="1"/>
          <w:numId w:val="34"/>
        </w:numPr>
        <w:spacing w:before="240" w:after="240"/>
        <w:rPr>
          <w:rFonts w:ascii="Arial" w:eastAsia="Arial" w:hAnsi="Arial" w:cs="Arial"/>
          <w:b/>
          <w:bCs/>
          <w:color w:val="000000" w:themeColor="text1"/>
          <w:sz w:val="22"/>
          <w:szCs w:val="22"/>
        </w:rPr>
      </w:pPr>
      <w:r w:rsidRPr="00CC235A">
        <w:rPr>
          <w:rFonts w:ascii="Arial" w:eastAsia="Arial" w:hAnsi="Arial" w:cs="Arial"/>
          <w:b/>
          <w:bCs/>
          <w:color w:val="000000" w:themeColor="text1"/>
          <w:sz w:val="22"/>
          <w:szCs w:val="22"/>
        </w:rPr>
        <w:t>Convocatoria</w:t>
      </w:r>
      <w:r w:rsidRPr="00CC235A">
        <w:rPr>
          <w:b/>
          <w:bCs/>
        </w:rPr>
        <w:br/>
      </w:r>
    </w:p>
    <w:p w14:paraId="4E01A91F" w14:textId="47F403AA" w:rsidR="00F609D9" w:rsidRPr="00F609D9" w:rsidRDefault="229EE939" w:rsidP="1CA20107">
      <w:pPr>
        <w:spacing w:before="240" w:after="240"/>
        <w:rPr>
          <w:rFonts w:ascii="Arial" w:eastAsia="Arial" w:hAnsi="Arial" w:cs="Arial"/>
          <w:color w:val="000000" w:themeColor="text1"/>
          <w:sz w:val="22"/>
          <w:szCs w:val="22"/>
        </w:rPr>
      </w:pPr>
      <w:r w:rsidRPr="362874ED">
        <w:rPr>
          <w:rFonts w:ascii="Arial" w:eastAsia="Arial" w:hAnsi="Arial" w:cs="Arial"/>
          <w:color w:val="000000" w:themeColor="text1"/>
          <w:sz w:val="22"/>
          <w:szCs w:val="22"/>
        </w:rPr>
        <w:t xml:space="preserve">La difusión y convocatoria se realizará mediante canales diversos y accesibles: correo electrónico, invitaciones institucionales, redes sociales, llamadas, medios comunitarios, plataformas digitales, boletines y movilización territorial a través de profesionales y líderes locales. Cada convocatoria se adecuará al grupo </w:t>
      </w:r>
      <w:r w:rsidRPr="00B95C47">
        <w:rPr>
          <w:rFonts w:ascii="Arial" w:eastAsia="Arial" w:hAnsi="Arial" w:cs="Arial"/>
          <w:color w:val="000000" w:themeColor="text1"/>
          <w:sz w:val="22"/>
          <w:szCs w:val="22"/>
        </w:rPr>
        <w:t>poblacional</w:t>
      </w:r>
      <w:r w:rsidRPr="362874ED">
        <w:rPr>
          <w:rFonts w:ascii="Arial" w:eastAsia="Arial" w:hAnsi="Arial" w:cs="Arial"/>
          <w:color w:val="000000" w:themeColor="text1"/>
          <w:sz w:val="22"/>
          <w:szCs w:val="22"/>
        </w:rPr>
        <w:t xml:space="preserve"> objetivo, considerando accesibilidad digital, lenguaje claro, pertinencia cultural y enfoque diferencial.</w:t>
      </w:r>
    </w:p>
    <w:p w14:paraId="011EC8A3" w14:textId="77777777" w:rsidR="00A81937" w:rsidRPr="00CC235A" w:rsidRDefault="229EE939" w:rsidP="00CC235A">
      <w:pPr>
        <w:pStyle w:val="Prrafodelista"/>
        <w:numPr>
          <w:ilvl w:val="1"/>
          <w:numId w:val="34"/>
        </w:numPr>
        <w:spacing w:before="240" w:after="240"/>
        <w:rPr>
          <w:rFonts w:ascii="Arial" w:eastAsia="Arial" w:hAnsi="Arial" w:cs="Arial"/>
          <w:b/>
          <w:bCs/>
          <w:color w:val="000000" w:themeColor="text1"/>
          <w:sz w:val="22"/>
          <w:szCs w:val="22"/>
        </w:rPr>
      </w:pPr>
      <w:r w:rsidRPr="00CC235A">
        <w:rPr>
          <w:rFonts w:ascii="Arial" w:eastAsia="Arial" w:hAnsi="Arial" w:cs="Arial"/>
          <w:b/>
          <w:bCs/>
          <w:color w:val="000000" w:themeColor="text1"/>
          <w:sz w:val="22"/>
          <w:szCs w:val="22"/>
        </w:rPr>
        <w:t>Ámbitos temáticos de participación</w:t>
      </w:r>
    </w:p>
    <w:p w14:paraId="1C011AB4" w14:textId="1503C1E0" w:rsidR="00F609D9" w:rsidRPr="00AA0E74" w:rsidRDefault="229EE939" w:rsidP="00AA0E74">
      <w:pPr>
        <w:spacing w:before="240" w:after="240"/>
        <w:rPr>
          <w:rFonts w:ascii="Arial" w:eastAsia="Arial" w:hAnsi="Arial" w:cs="Arial"/>
          <w:color w:val="000000" w:themeColor="text1"/>
          <w:sz w:val="22"/>
          <w:szCs w:val="22"/>
        </w:rPr>
      </w:pPr>
      <w:r w:rsidRPr="030C9AE5">
        <w:rPr>
          <w:rFonts w:ascii="Arial" w:eastAsia="Arial" w:hAnsi="Arial" w:cs="Arial"/>
          <w:color w:val="000000" w:themeColor="text1"/>
          <w:sz w:val="22"/>
          <w:szCs w:val="22"/>
        </w:rPr>
        <w:t>La ciudadanía y los actores convocados aportarán insumos valiosos en los siguientes ejes:</w:t>
      </w:r>
    </w:p>
    <w:p w14:paraId="1FCF63F0" w14:textId="03489550" w:rsidR="00306868" w:rsidRPr="00127877" w:rsidRDefault="5E43C6B1" w:rsidP="030C9AE5">
      <w:pPr>
        <w:spacing w:before="240" w:after="240"/>
        <w:rPr>
          <w:b/>
          <w:bCs/>
        </w:rPr>
      </w:pPr>
      <w:r w:rsidRPr="00127877">
        <w:rPr>
          <w:rFonts w:ascii="Arial" w:eastAsia="Arial" w:hAnsi="Arial" w:cs="Arial"/>
          <w:b/>
          <w:bCs/>
          <w:i/>
          <w:iCs/>
          <w:sz w:val="22"/>
          <w:szCs w:val="22"/>
        </w:rPr>
        <w:t>Percepción general sobre el envejecimiento en Bogotá</w:t>
      </w:r>
      <w:r w:rsidRPr="00127877">
        <w:rPr>
          <w:rFonts w:ascii="Arial" w:eastAsia="Arial" w:hAnsi="Arial" w:cs="Arial"/>
          <w:b/>
          <w:bCs/>
          <w:sz w:val="22"/>
          <w:szCs w:val="22"/>
        </w:rPr>
        <w:t xml:space="preserve"> </w:t>
      </w:r>
    </w:p>
    <w:p w14:paraId="53470529" w14:textId="60418232" w:rsidR="00306868" w:rsidRPr="00306868" w:rsidRDefault="5E43C6B1" w:rsidP="00FF0BB7">
      <w:pPr>
        <w:pStyle w:val="Prrafodelista"/>
        <w:numPr>
          <w:ilvl w:val="0"/>
          <w:numId w:val="37"/>
        </w:numPr>
        <w:spacing w:before="240" w:after="240"/>
      </w:pPr>
      <w:r w:rsidRPr="00FF0BB7">
        <w:rPr>
          <w:rFonts w:ascii="Arial" w:eastAsia="Arial" w:hAnsi="Arial" w:cs="Arial"/>
          <w:sz w:val="22"/>
          <w:szCs w:val="22"/>
        </w:rPr>
        <w:t xml:space="preserve">Percepción sobre el envejecimiento y la vejez </w:t>
      </w:r>
    </w:p>
    <w:p w14:paraId="40C272CF" w14:textId="06B19B1A" w:rsidR="00306868" w:rsidRPr="00306868" w:rsidRDefault="5E43C6B1" w:rsidP="00FF0BB7">
      <w:pPr>
        <w:pStyle w:val="Prrafodelista"/>
        <w:numPr>
          <w:ilvl w:val="0"/>
          <w:numId w:val="37"/>
        </w:numPr>
        <w:spacing w:before="240" w:after="240"/>
      </w:pPr>
      <w:r w:rsidRPr="00FF0BB7">
        <w:rPr>
          <w:rFonts w:ascii="Arial" w:eastAsia="Arial" w:hAnsi="Arial" w:cs="Arial"/>
          <w:sz w:val="22"/>
          <w:szCs w:val="22"/>
        </w:rPr>
        <w:t xml:space="preserve">Percepción sobre la PPSEV actual: Aspectos positivos (avances) y saldos de política </w:t>
      </w:r>
    </w:p>
    <w:p w14:paraId="7E301215" w14:textId="20B35AE1" w:rsidR="00306868" w:rsidRPr="00F52005" w:rsidRDefault="5E43C6B1" w:rsidP="00F52005">
      <w:pPr>
        <w:spacing w:before="240" w:after="240"/>
        <w:rPr>
          <w:rFonts w:ascii="Arial" w:eastAsia="Arial" w:hAnsi="Arial" w:cs="Arial"/>
          <w:b/>
          <w:bCs/>
          <w:i/>
          <w:iCs/>
          <w:sz w:val="22"/>
          <w:szCs w:val="22"/>
        </w:rPr>
      </w:pPr>
      <w:r w:rsidRPr="00F52005">
        <w:rPr>
          <w:rFonts w:ascii="Arial" w:eastAsia="Arial" w:hAnsi="Arial" w:cs="Arial"/>
          <w:b/>
          <w:bCs/>
          <w:i/>
          <w:iCs/>
          <w:sz w:val="22"/>
          <w:szCs w:val="22"/>
        </w:rPr>
        <w:t xml:space="preserve">Cómo me preparo para mi vejez Visión de Futuro: Cómo suena la ciudad del futuro </w:t>
      </w:r>
    </w:p>
    <w:p w14:paraId="6B16DD4E" w14:textId="340A5290" w:rsidR="00306868" w:rsidRPr="00306868" w:rsidRDefault="5E43C6B1" w:rsidP="00FF0BB7">
      <w:pPr>
        <w:pStyle w:val="Prrafodelista"/>
        <w:numPr>
          <w:ilvl w:val="0"/>
          <w:numId w:val="37"/>
        </w:numPr>
        <w:spacing w:before="240" w:after="240"/>
      </w:pPr>
      <w:r w:rsidRPr="00FF0BB7">
        <w:rPr>
          <w:rFonts w:ascii="Arial" w:eastAsia="Arial" w:hAnsi="Arial" w:cs="Arial"/>
          <w:sz w:val="22"/>
          <w:szCs w:val="22"/>
        </w:rPr>
        <w:t xml:space="preserve">Propuesta de ciudad </w:t>
      </w:r>
    </w:p>
    <w:p w14:paraId="0B4F8289" w14:textId="109ED309" w:rsidR="00FF0BB7" w:rsidRPr="00FF0BB7" w:rsidRDefault="5E43C6B1" w:rsidP="00FF0BB7">
      <w:pPr>
        <w:pStyle w:val="Prrafodelista"/>
        <w:numPr>
          <w:ilvl w:val="0"/>
          <w:numId w:val="37"/>
        </w:numPr>
        <w:spacing w:before="240" w:after="240"/>
        <w:rPr>
          <w:rFonts w:ascii="Arial" w:eastAsia="Arial" w:hAnsi="Arial" w:cs="Arial"/>
          <w:sz w:val="22"/>
          <w:szCs w:val="22"/>
        </w:rPr>
      </w:pPr>
      <w:r w:rsidRPr="00FF0BB7">
        <w:rPr>
          <w:rFonts w:ascii="Arial" w:eastAsia="Arial" w:hAnsi="Arial" w:cs="Arial"/>
          <w:sz w:val="22"/>
          <w:szCs w:val="22"/>
        </w:rPr>
        <w:t xml:space="preserve">Responsabilidad Social y visión a Futuro </w:t>
      </w:r>
    </w:p>
    <w:p w14:paraId="490A54B1" w14:textId="73291D21" w:rsidR="00306868" w:rsidRPr="00FF0BB7" w:rsidRDefault="5E43C6B1" w:rsidP="030C9AE5">
      <w:pPr>
        <w:spacing w:before="240" w:after="240"/>
        <w:rPr>
          <w:rFonts w:ascii="Arial" w:eastAsia="Arial" w:hAnsi="Arial" w:cs="Arial"/>
          <w:b/>
          <w:bCs/>
          <w:i/>
          <w:iCs/>
          <w:sz w:val="22"/>
          <w:szCs w:val="22"/>
        </w:rPr>
      </w:pPr>
      <w:r w:rsidRPr="00FF0BB7">
        <w:rPr>
          <w:rFonts w:ascii="Arial" w:eastAsia="Arial" w:hAnsi="Arial" w:cs="Arial"/>
          <w:b/>
          <w:bCs/>
          <w:i/>
          <w:iCs/>
          <w:sz w:val="22"/>
          <w:szCs w:val="22"/>
        </w:rPr>
        <w:t xml:space="preserve">Condiciones de Vida y acceso a Derechos </w:t>
      </w:r>
    </w:p>
    <w:p w14:paraId="498A3D5C" w14:textId="2185A792" w:rsidR="00127877" w:rsidRPr="00C232ED" w:rsidRDefault="5E43C6B1" w:rsidP="00C232ED">
      <w:pPr>
        <w:pStyle w:val="Prrafodelista"/>
        <w:numPr>
          <w:ilvl w:val="0"/>
          <w:numId w:val="37"/>
        </w:numPr>
        <w:spacing w:before="240" w:after="240"/>
        <w:rPr>
          <w:rFonts w:ascii="Arial" w:eastAsia="Arial" w:hAnsi="Arial" w:cs="Arial"/>
          <w:sz w:val="22"/>
          <w:szCs w:val="22"/>
        </w:rPr>
      </w:pPr>
      <w:r w:rsidRPr="00C232ED">
        <w:rPr>
          <w:rFonts w:ascii="Arial" w:eastAsia="Arial" w:hAnsi="Arial" w:cs="Arial"/>
          <w:sz w:val="22"/>
          <w:szCs w:val="22"/>
        </w:rPr>
        <w:t xml:space="preserve">Brecha Digital </w:t>
      </w:r>
    </w:p>
    <w:p w14:paraId="7ACF0614" w14:textId="45CD2C15" w:rsidR="00FF0BB7" w:rsidRPr="00C232ED" w:rsidRDefault="5E43C6B1" w:rsidP="00C232ED">
      <w:pPr>
        <w:pStyle w:val="Prrafodelista"/>
        <w:numPr>
          <w:ilvl w:val="0"/>
          <w:numId w:val="37"/>
        </w:numPr>
        <w:spacing w:before="240" w:after="240"/>
        <w:rPr>
          <w:rFonts w:ascii="Arial" w:eastAsia="Arial" w:hAnsi="Arial" w:cs="Arial"/>
          <w:sz w:val="22"/>
          <w:szCs w:val="22"/>
        </w:rPr>
      </w:pPr>
      <w:r w:rsidRPr="00C232ED">
        <w:rPr>
          <w:rFonts w:ascii="Arial" w:eastAsia="Arial" w:hAnsi="Arial" w:cs="Arial"/>
          <w:sz w:val="22"/>
          <w:szCs w:val="22"/>
        </w:rPr>
        <w:t xml:space="preserve">Prevención de violencias y entornos protectores </w:t>
      </w:r>
    </w:p>
    <w:p w14:paraId="219461C1" w14:textId="614BCB97" w:rsidR="00A13ADF" w:rsidRPr="00C232ED" w:rsidRDefault="5E43C6B1" w:rsidP="00C232ED">
      <w:pPr>
        <w:pStyle w:val="Prrafodelista"/>
        <w:numPr>
          <w:ilvl w:val="0"/>
          <w:numId w:val="37"/>
        </w:numPr>
        <w:spacing w:before="240" w:after="240"/>
        <w:rPr>
          <w:rFonts w:ascii="Arial" w:eastAsia="Arial" w:hAnsi="Arial" w:cs="Arial"/>
          <w:sz w:val="22"/>
          <w:szCs w:val="22"/>
        </w:rPr>
      </w:pPr>
      <w:r w:rsidRPr="00C232ED">
        <w:rPr>
          <w:rFonts w:ascii="Arial" w:eastAsia="Arial" w:hAnsi="Arial" w:cs="Arial"/>
          <w:sz w:val="22"/>
          <w:szCs w:val="22"/>
        </w:rPr>
        <w:t xml:space="preserve">Protección y Cuidado </w:t>
      </w:r>
    </w:p>
    <w:p w14:paraId="37F9E593" w14:textId="5D0F00DD" w:rsidR="00335B93" w:rsidRPr="00C232ED" w:rsidRDefault="5E43C6B1" w:rsidP="00C232ED">
      <w:pPr>
        <w:pStyle w:val="Prrafodelista"/>
        <w:numPr>
          <w:ilvl w:val="0"/>
          <w:numId w:val="37"/>
        </w:numPr>
        <w:spacing w:before="240" w:after="240"/>
        <w:rPr>
          <w:rFonts w:ascii="Arial" w:eastAsia="Arial" w:hAnsi="Arial" w:cs="Arial"/>
          <w:sz w:val="22"/>
          <w:szCs w:val="22"/>
        </w:rPr>
      </w:pPr>
      <w:r w:rsidRPr="00C232ED">
        <w:rPr>
          <w:rFonts w:ascii="Arial" w:eastAsia="Arial" w:hAnsi="Arial" w:cs="Arial"/>
          <w:sz w:val="22"/>
          <w:szCs w:val="22"/>
        </w:rPr>
        <w:t xml:space="preserve">Cuidado Intergeneracional – corresponsabilidad </w:t>
      </w:r>
    </w:p>
    <w:p w14:paraId="71A4183A" w14:textId="1FB30F04" w:rsidR="00335B93" w:rsidRPr="00C232ED" w:rsidRDefault="5E43C6B1" w:rsidP="00C232ED">
      <w:pPr>
        <w:pStyle w:val="Prrafodelista"/>
        <w:numPr>
          <w:ilvl w:val="0"/>
          <w:numId w:val="37"/>
        </w:numPr>
        <w:spacing w:before="240" w:after="240"/>
        <w:rPr>
          <w:rFonts w:ascii="Arial" w:eastAsia="Arial" w:hAnsi="Arial" w:cs="Arial"/>
          <w:sz w:val="22"/>
          <w:szCs w:val="22"/>
        </w:rPr>
      </w:pPr>
      <w:r w:rsidRPr="00C232ED">
        <w:rPr>
          <w:rFonts w:ascii="Arial" w:eastAsia="Arial" w:hAnsi="Arial" w:cs="Arial"/>
          <w:sz w:val="22"/>
          <w:szCs w:val="22"/>
        </w:rPr>
        <w:t xml:space="preserve">Fortalecimiento de vínculos afectivos intergeneracionales </w:t>
      </w:r>
    </w:p>
    <w:p w14:paraId="6E46DCC8" w14:textId="012BFE2B" w:rsidR="00335B93" w:rsidRPr="00C232ED" w:rsidRDefault="5E43C6B1" w:rsidP="00C232ED">
      <w:pPr>
        <w:pStyle w:val="Prrafodelista"/>
        <w:numPr>
          <w:ilvl w:val="0"/>
          <w:numId w:val="37"/>
        </w:numPr>
        <w:spacing w:before="240" w:after="240"/>
        <w:rPr>
          <w:rFonts w:ascii="Arial" w:eastAsia="Arial" w:hAnsi="Arial" w:cs="Arial"/>
          <w:sz w:val="22"/>
          <w:szCs w:val="22"/>
        </w:rPr>
      </w:pPr>
      <w:r w:rsidRPr="00C232ED">
        <w:rPr>
          <w:rFonts w:ascii="Arial" w:eastAsia="Arial" w:hAnsi="Arial" w:cs="Arial"/>
          <w:sz w:val="22"/>
          <w:szCs w:val="22"/>
        </w:rPr>
        <w:t xml:space="preserve">Enfoque diferencial </w:t>
      </w:r>
    </w:p>
    <w:p w14:paraId="64160430" w14:textId="77777777" w:rsidR="00335B93" w:rsidRPr="00335B93" w:rsidRDefault="5E43C6B1" w:rsidP="030C9AE5">
      <w:pPr>
        <w:spacing w:before="240" w:after="240"/>
        <w:rPr>
          <w:rFonts w:ascii="Arial" w:eastAsia="Arial" w:hAnsi="Arial" w:cs="Arial"/>
          <w:b/>
          <w:bCs/>
          <w:i/>
          <w:iCs/>
          <w:sz w:val="22"/>
          <w:szCs w:val="22"/>
        </w:rPr>
      </w:pPr>
      <w:r w:rsidRPr="00335B93">
        <w:rPr>
          <w:rFonts w:ascii="Arial" w:eastAsia="Arial" w:hAnsi="Arial" w:cs="Arial"/>
          <w:b/>
          <w:bCs/>
          <w:i/>
          <w:iCs/>
          <w:sz w:val="22"/>
          <w:szCs w:val="22"/>
        </w:rPr>
        <w:t xml:space="preserve">Participación y percepción </w:t>
      </w:r>
    </w:p>
    <w:p w14:paraId="14D2C66D" w14:textId="4517B3B3" w:rsidR="007F7317" w:rsidRPr="007F7317" w:rsidRDefault="5E43C6B1" w:rsidP="007F7317">
      <w:pPr>
        <w:pStyle w:val="Prrafodelista"/>
        <w:numPr>
          <w:ilvl w:val="0"/>
          <w:numId w:val="37"/>
        </w:numPr>
        <w:spacing w:before="240" w:after="240"/>
        <w:rPr>
          <w:rFonts w:ascii="Arial" w:eastAsia="Arial" w:hAnsi="Arial" w:cs="Arial"/>
          <w:sz w:val="22"/>
          <w:szCs w:val="22"/>
        </w:rPr>
      </w:pPr>
      <w:r w:rsidRPr="007F7317">
        <w:rPr>
          <w:rFonts w:ascii="Arial" w:eastAsia="Arial" w:hAnsi="Arial" w:cs="Arial"/>
          <w:sz w:val="22"/>
          <w:szCs w:val="22"/>
        </w:rPr>
        <w:t xml:space="preserve">Participación, percepción y Propuestas </w:t>
      </w:r>
    </w:p>
    <w:p w14:paraId="74E7F6B3" w14:textId="72B30744" w:rsidR="007F7317" w:rsidRPr="007F7317" w:rsidRDefault="5E43C6B1" w:rsidP="007F7317">
      <w:pPr>
        <w:pStyle w:val="Prrafodelista"/>
        <w:numPr>
          <w:ilvl w:val="0"/>
          <w:numId w:val="37"/>
        </w:numPr>
        <w:spacing w:before="240" w:after="240"/>
        <w:rPr>
          <w:rFonts w:ascii="Arial" w:eastAsia="Arial" w:hAnsi="Arial" w:cs="Arial"/>
          <w:sz w:val="22"/>
          <w:szCs w:val="22"/>
        </w:rPr>
      </w:pPr>
      <w:r w:rsidRPr="007F7317">
        <w:rPr>
          <w:rFonts w:ascii="Arial" w:eastAsia="Arial" w:hAnsi="Arial" w:cs="Arial"/>
          <w:sz w:val="22"/>
          <w:szCs w:val="22"/>
        </w:rPr>
        <w:t xml:space="preserve">Transmisión de Saberes </w:t>
      </w:r>
    </w:p>
    <w:p w14:paraId="7486CE3B" w14:textId="77777777" w:rsidR="007F7317" w:rsidRPr="007F7317" w:rsidRDefault="5E43C6B1" w:rsidP="030C9AE5">
      <w:pPr>
        <w:spacing w:before="240" w:after="240"/>
        <w:rPr>
          <w:rFonts w:ascii="Arial" w:eastAsia="Arial" w:hAnsi="Arial" w:cs="Arial"/>
          <w:b/>
          <w:bCs/>
          <w:i/>
          <w:iCs/>
          <w:sz w:val="22"/>
          <w:szCs w:val="22"/>
        </w:rPr>
      </w:pPr>
      <w:r w:rsidRPr="007F7317">
        <w:rPr>
          <w:rFonts w:ascii="Arial" w:eastAsia="Arial" w:hAnsi="Arial" w:cs="Arial"/>
          <w:b/>
          <w:bCs/>
          <w:i/>
          <w:iCs/>
          <w:sz w:val="22"/>
          <w:szCs w:val="22"/>
        </w:rPr>
        <w:t xml:space="preserve">Oportunidades de mejora </w:t>
      </w:r>
    </w:p>
    <w:p w14:paraId="66C98501" w14:textId="4EB4474D" w:rsidR="007F7317" w:rsidRPr="00BA4219" w:rsidRDefault="5E43C6B1" w:rsidP="00BA4219">
      <w:pPr>
        <w:pStyle w:val="Prrafodelista"/>
        <w:numPr>
          <w:ilvl w:val="0"/>
          <w:numId w:val="37"/>
        </w:numPr>
        <w:spacing w:before="240" w:after="240"/>
        <w:rPr>
          <w:rFonts w:ascii="Arial" w:eastAsia="Arial" w:hAnsi="Arial" w:cs="Arial"/>
          <w:sz w:val="22"/>
          <w:szCs w:val="22"/>
        </w:rPr>
      </w:pPr>
      <w:r w:rsidRPr="00BA4219">
        <w:rPr>
          <w:rFonts w:ascii="Arial" w:eastAsia="Arial" w:hAnsi="Arial" w:cs="Arial"/>
          <w:sz w:val="22"/>
          <w:szCs w:val="22"/>
        </w:rPr>
        <w:t xml:space="preserve">Identificación de Problemáticas actuales, desafíos, barreras y tendencias </w:t>
      </w:r>
    </w:p>
    <w:p w14:paraId="17095D98" w14:textId="2C853C8F" w:rsidR="007F7317" w:rsidRPr="00BA4219" w:rsidRDefault="5E43C6B1" w:rsidP="00BA4219">
      <w:pPr>
        <w:pStyle w:val="Prrafodelista"/>
        <w:numPr>
          <w:ilvl w:val="0"/>
          <w:numId w:val="37"/>
        </w:numPr>
        <w:spacing w:before="240" w:after="240"/>
        <w:rPr>
          <w:rFonts w:ascii="Arial" w:eastAsia="Arial" w:hAnsi="Arial" w:cs="Arial"/>
          <w:sz w:val="22"/>
          <w:szCs w:val="22"/>
        </w:rPr>
      </w:pPr>
      <w:r w:rsidRPr="00BA4219">
        <w:rPr>
          <w:rFonts w:ascii="Arial" w:eastAsia="Arial" w:hAnsi="Arial" w:cs="Arial"/>
          <w:sz w:val="22"/>
          <w:szCs w:val="22"/>
        </w:rPr>
        <w:t xml:space="preserve">Propuestas estratégicas – Análisis de Buenas Prácticas </w:t>
      </w:r>
    </w:p>
    <w:p w14:paraId="560B034D" w14:textId="77777777" w:rsidR="00BA4219" w:rsidRPr="00BA4219" w:rsidRDefault="5E43C6B1" w:rsidP="030C9AE5">
      <w:pPr>
        <w:spacing w:before="240" w:after="240"/>
        <w:rPr>
          <w:rFonts w:ascii="Arial" w:eastAsia="Arial" w:hAnsi="Arial" w:cs="Arial"/>
          <w:b/>
          <w:bCs/>
          <w:i/>
          <w:iCs/>
          <w:sz w:val="22"/>
          <w:szCs w:val="22"/>
        </w:rPr>
      </w:pPr>
      <w:r w:rsidRPr="00BA4219">
        <w:rPr>
          <w:rFonts w:ascii="Arial" w:eastAsia="Arial" w:hAnsi="Arial" w:cs="Arial"/>
          <w:b/>
          <w:bCs/>
          <w:i/>
          <w:iCs/>
          <w:sz w:val="22"/>
          <w:szCs w:val="22"/>
        </w:rPr>
        <w:lastRenderedPageBreak/>
        <w:t xml:space="preserve">Acciones, propuestas, desafíos y sectores </w:t>
      </w:r>
    </w:p>
    <w:p w14:paraId="27A1C024" w14:textId="03291E83" w:rsidR="00BA4219" w:rsidRPr="00BA4219" w:rsidRDefault="5E43C6B1" w:rsidP="00BA4219">
      <w:pPr>
        <w:pStyle w:val="Prrafodelista"/>
        <w:numPr>
          <w:ilvl w:val="0"/>
          <w:numId w:val="37"/>
        </w:numPr>
        <w:spacing w:before="240" w:after="240"/>
        <w:rPr>
          <w:rFonts w:ascii="Arial" w:eastAsia="Arial" w:hAnsi="Arial" w:cs="Arial"/>
          <w:sz w:val="22"/>
          <w:szCs w:val="22"/>
        </w:rPr>
      </w:pPr>
      <w:r w:rsidRPr="00BA4219">
        <w:rPr>
          <w:rFonts w:ascii="Arial" w:eastAsia="Arial" w:hAnsi="Arial" w:cs="Arial"/>
          <w:sz w:val="22"/>
          <w:szCs w:val="22"/>
        </w:rPr>
        <w:t xml:space="preserve">Generar compromisos de cada sector a mediano plazo </w:t>
      </w:r>
    </w:p>
    <w:p w14:paraId="6C8568E8" w14:textId="7F16C3C6" w:rsidR="00BA4219" w:rsidRPr="00BA4219" w:rsidRDefault="5E43C6B1" w:rsidP="00BA4219">
      <w:pPr>
        <w:pStyle w:val="Prrafodelista"/>
        <w:numPr>
          <w:ilvl w:val="0"/>
          <w:numId w:val="37"/>
        </w:numPr>
        <w:spacing w:before="240" w:after="240"/>
        <w:rPr>
          <w:rFonts w:ascii="Arial" w:eastAsia="Arial" w:hAnsi="Arial" w:cs="Arial"/>
          <w:sz w:val="22"/>
          <w:szCs w:val="22"/>
        </w:rPr>
      </w:pPr>
      <w:r w:rsidRPr="00BA4219">
        <w:rPr>
          <w:rFonts w:ascii="Arial" w:eastAsia="Arial" w:hAnsi="Arial" w:cs="Arial"/>
          <w:sz w:val="22"/>
          <w:szCs w:val="22"/>
        </w:rPr>
        <w:t xml:space="preserve">Identificar acciones de cada sector a favor de las personas mayores </w:t>
      </w:r>
    </w:p>
    <w:p w14:paraId="5A103CA3" w14:textId="1B70216A" w:rsidR="00BA4219" w:rsidRPr="00BA4219" w:rsidRDefault="5E43C6B1" w:rsidP="00BA4219">
      <w:pPr>
        <w:pStyle w:val="Prrafodelista"/>
        <w:numPr>
          <w:ilvl w:val="0"/>
          <w:numId w:val="37"/>
        </w:numPr>
        <w:spacing w:before="240" w:after="240"/>
        <w:rPr>
          <w:rFonts w:ascii="Arial" w:eastAsia="Arial" w:hAnsi="Arial" w:cs="Arial"/>
          <w:sz w:val="22"/>
          <w:szCs w:val="22"/>
        </w:rPr>
      </w:pPr>
      <w:r w:rsidRPr="00BA4219">
        <w:rPr>
          <w:rFonts w:ascii="Arial" w:eastAsia="Arial" w:hAnsi="Arial" w:cs="Arial"/>
          <w:sz w:val="22"/>
          <w:szCs w:val="22"/>
        </w:rPr>
        <w:t xml:space="preserve">Identificar desafíos actuales que enfrenta cada sector </w:t>
      </w:r>
    </w:p>
    <w:p w14:paraId="7B873FB5" w14:textId="53E8F06C" w:rsidR="00BA4219" w:rsidRPr="00BA4219" w:rsidRDefault="5E43C6B1" w:rsidP="00BA4219">
      <w:pPr>
        <w:pStyle w:val="Prrafodelista"/>
        <w:numPr>
          <w:ilvl w:val="0"/>
          <w:numId w:val="37"/>
        </w:numPr>
        <w:spacing w:before="240" w:after="240"/>
        <w:rPr>
          <w:rFonts w:ascii="Arial" w:eastAsia="Arial" w:hAnsi="Arial" w:cs="Arial"/>
          <w:sz w:val="22"/>
          <w:szCs w:val="22"/>
        </w:rPr>
      </w:pPr>
      <w:r w:rsidRPr="00BA4219">
        <w:rPr>
          <w:rFonts w:ascii="Arial" w:eastAsia="Arial" w:hAnsi="Arial" w:cs="Arial"/>
          <w:sz w:val="22"/>
          <w:szCs w:val="22"/>
        </w:rPr>
        <w:t xml:space="preserve">Propuestas desde el sector: Cuidado, Protección, Garantía de Derechos e Imaginarios </w:t>
      </w:r>
    </w:p>
    <w:p w14:paraId="551849E2" w14:textId="5DAE4A9E" w:rsidR="00306868" w:rsidRPr="00306868" w:rsidRDefault="5E43C6B1" w:rsidP="00BA4219">
      <w:pPr>
        <w:pStyle w:val="Prrafodelista"/>
        <w:numPr>
          <w:ilvl w:val="0"/>
          <w:numId w:val="37"/>
        </w:numPr>
        <w:spacing w:before="240" w:after="240"/>
      </w:pPr>
      <w:r w:rsidRPr="00BA4219">
        <w:rPr>
          <w:rFonts w:ascii="Arial" w:eastAsia="Arial" w:hAnsi="Arial" w:cs="Arial"/>
          <w:sz w:val="22"/>
          <w:szCs w:val="22"/>
        </w:rPr>
        <w:t>Propuestas desde el sector: seguridad económica – Ingresos, Garantía de Derechos, Imaginarios</w:t>
      </w:r>
    </w:p>
    <w:p w14:paraId="46D397D4" w14:textId="09ACB85C" w:rsidR="00306868" w:rsidRPr="00306868" w:rsidRDefault="229EE939" w:rsidP="1CA20107">
      <w:pPr>
        <w:spacing w:before="240" w:after="240"/>
        <w:rPr>
          <w:rFonts w:ascii="Arial" w:hAnsi="Arial" w:cs="Arial"/>
          <w:b/>
          <w:bCs/>
          <w:sz w:val="22"/>
          <w:szCs w:val="22"/>
        </w:rPr>
      </w:pPr>
      <w:r>
        <w:br/>
      </w:r>
      <w:r w:rsidRPr="030C9AE5">
        <w:rPr>
          <w:rFonts w:ascii="Arial" w:eastAsia="Arial" w:hAnsi="Arial" w:cs="Arial"/>
          <w:color w:val="000000" w:themeColor="text1"/>
          <w:sz w:val="22"/>
          <w:szCs w:val="22"/>
        </w:rPr>
        <w:t xml:space="preserve">Finalmente, esta estrategia busca que la participación ciudadana tenga un </w:t>
      </w:r>
      <w:r w:rsidR="1AA3EF0F" w:rsidRPr="030C9AE5">
        <w:rPr>
          <w:rFonts w:ascii="Arial" w:eastAsia="Arial" w:hAnsi="Arial" w:cs="Arial"/>
          <w:color w:val="000000" w:themeColor="text1"/>
          <w:sz w:val="22"/>
          <w:szCs w:val="22"/>
        </w:rPr>
        <w:t xml:space="preserve">carácter contributivo </w:t>
      </w:r>
      <w:r w:rsidRPr="030C9AE5">
        <w:rPr>
          <w:rFonts w:ascii="Arial" w:eastAsia="Arial" w:hAnsi="Arial" w:cs="Arial"/>
          <w:color w:val="000000" w:themeColor="text1"/>
          <w:sz w:val="22"/>
          <w:szCs w:val="22"/>
        </w:rPr>
        <w:t>de manera sustantiva a la construcción colectiva de la política. Para tal fin, se a</w:t>
      </w:r>
      <w:r w:rsidR="6D77F7C6" w:rsidRPr="030C9AE5">
        <w:rPr>
          <w:rFonts w:ascii="Arial" w:eastAsia="Arial" w:hAnsi="Arial" w:cs="Arial"/>
          <w:color w:val="000000" w:themeColor="text1"/>
          <w:sz w:val="22"/>
          <w:szCs w:val="22"/>
        </w:rPr>
        <w:t xml:space="preserve">nexa el formato secretaría de planeación </w:t>
      </w:r>
      <w:r w:rsidR="284720DA" w:rsidRPr="030C9AE5">
        <w:rPr>
          <w:rFonts w:ascii="Arial" w:eastAsia="Arial" w:hAnsi="Arial" w:cs="Arial"/>
          <w:color w:val="000000" w:themeColor="text1"/>
          <w:sz w:val="22"/>
          <w:szCs w:val="22"/>
        </w:rPr>
        <w:t>distrital que</w:t>
      </w:r>
      <w:r w:rsidRPr="030C9AE5">
        <w:rPr>
          <w:rFonts w:ascii="Arial" w:eastAsia="Arial" w:hAnsi="Arial" w:cs="Arial"/>
          <w:color w:val="000000" w:themeColor="text1"/>
          <w:sz w:val="22"/>
          <w:szCs w:val="22"/>
        </w:rPr>
        <w:t xml:space="preserve"> detalla las características de cada actividad contemplada, incluyendo los actores convocados, los mecanismos de participación, los ámbitos temáticos, el alcance y las metodologías específicas, lo que permite visualizar de manera integrada el desarrollo de toda la estrategia metodológica.</w:t>
      </w:r>
      <w:r w:rsidR="2E8A8E6F" w:rsidRPr="030C9AE5">
        <w:rPr>
          <w:rFonts w:ascii="Arial" w:eastAsia="Arial" w:hAnsi="Arial" w:cs="Arial"/>
          <w:color w:val="000000" w:themeColor="text1"/>
          <w:sz w:val="22"/>
          <w:szCs w:val="22"/>
        </w:rPr>
        <w:t xml:space="preserve"> </w:t>
      </w:r>
    </w:p>
    <w:p w14:paraId="15100653" w14:textId="10E895B7" w:rsidR="00306868" w:rsidRPr="00CC235A" w:rsidRDefault="007834ED" w:rsidP="00CC235A">
      <w:pPr>
        <w:pStyle w:val="Prrafodelista"/>
        <w:numPr>
          <w:ilvl w:val="0"/>
          <w:numId w:val="34"/>
        </w:numPr>
        <w:spacing w:before="240" w:after="240"/>
        <w:rPr>
          <w:rFonts w:ascii="Arial" w:hAnsi="Arial" w:cs="Arial"/>
          <w:b/>
          <w:bCs/>
          <w:sz w:val="22"/>
          <w:szCs w:val="22"/>
        </w:rPr>
      </w:pPr>
      <w:r w:rsidRPr="00CC235A">
        <w:rPr>
          <w:rFonts w:ascii="Arial" w:hAnsi="Arial" w:cs="Arial"/>
          <w:b/>
          <w:bCs/>
          <w:sz w:val="22"/>
          <w:szCs w:val="22"/>
        </w:rPr>
        <w:t xml:space="preserve">Recursos </w:t>
      </w:r>
      <w:r w:rsidR="00306868" w:rsidRPr="00CC235A">
        <w:rPr>
          <w:rFonts w:ascii="Arial" w:hAnsi="Arial" w:cs="Arial"/>
          <w:b/>
          <w:bCs/>
          <w:sz w:val="22"/>
          <w:szCs w:val="22"/>
        </w:rPr>
        <w:t>para l</w:t>
      </w:r>
      <w:r w:rsidR="00084563" w:rsidRPr="00CC235A">
        <w:rPr>
          <w:rFonts w:ascii="Arial" w:hAnsi="Arial" w:cs="Arial"/>
          <w:b/>
          <w:bCs/>
          <w:sz w:val="22"/>
          <w:szCs w:val="22"/>
        </w:rPr>
        <w:t>as</w:t>
      </w:r>
      <w:r w:rsidR="00306868" w:rsidRPr="00CC235A">
        <w:rPr>
          <w:rFonts w:ascii="Arial" w:hAnsi="Arial" w:cs="Arial"/>
          <w:b/>
          <w:bCs/>
          <w:sz w:val="22"/>
          <w:szCs w:val="22"/>
        </w:rPr>
        <w:t xml:space="preserve"> fase</w:t>
      </w:r>
      <w:r w:rsidR="00084563" w:rsidRPr="00CC235A">
        <w:rPr>
          <w:rFonts w:ascii="Arial" w:hAnsi="Arial" w:cs="Arial"/>
          <w:b/>
          <w:bCs/>
          <w:sz w:val="22"/>
          <w:szCs w:val="22"/>
        </w:rPr>
        <w:t>s</w:t>
      </w:r>
      <w:r w:rsidR="00306868" w:rsidRPr="00CC235A">
        <w:rPr>
          <w:rFonts w:ascii="Arial" w:hAnsi="Arial" w:cs="Arial"/>
          <w:b/>
          <w:bCs/>
          <w:sz w:val="22"/>
          <w:szCs w:val="22"/>
        </w:rPr>
        <w:t xml:space="preserve"> de</w:t>
      </w:r>
      <w:r w:rsidR="00084563" w:rsidRPr="00CC235A">
        <w:rPr>
          <w:rFonts w:ascii="Arial" w:hAnsi="Arial" w:cs="Arial"/>
          <w:b/>
          <w:bCs/>
          <w:sz w:val="22"/>
          <w:szCs w:val="22"/>
        </w:rPr>
        <w:t xml:space="preserve"> Diagnóstico y</w:t>
      </w:r>
      <w:r w:rsidR="00306868" w:rsidRPr="00CC235A">
        <w:rPr>
          <w:rFonts w:ascii="Arial" w:hAnsi="Arial" w:cs="Arial"/>
          <w:b/>
          <w:bCs/>
          <w:sz w:val="22"/>
          <w:szCs w:val="22"/>
        </w:rPr>
        <w:t xml:space="preserve"> </w:t>
      </w:r>
      <w:r w:rsidR="00084563" w:rsidRPr="00CC235A">
        <w:rPr>
          <w:rFonts w:ascii="Arial" w:hAnsi="Arial" w:cs="Arial"/>
          <w:b/>
          <w:bCs/>
          <w:sz w:val="22"/>
          <w:szCs w:val="22"/>
        </w:rPr>
        <w:t>Formulación</w:t>
      </w:r>
    </w:p>
    <w:p w14:paraId="3425AD75" w14:textId="5862AD02" w:rsidR="008F774E" w:rsidRPr="008F774E" w:rsidRDefault="008F774E" w:rsidP="008F774E">
      <w:pPr>
        <w:rPr>
          <w:rFonts w:ascii="Arial" w:hAnsi="Arial" w:cs="Arial"/>
          <w:sz w:val="22"/>
          <w:szCs w:val="22"/>
        </w:rPr>
      </w:pPr>
      <w:r w:rsidRPr="008F774E">
        <w:rPr>
          <w:rFonts w:ascii="Arial" w:hAnsi="Arial" w:cs="Arial"/>
          <w:sz w:val="22"/>
          <w:szCs w:val="22"/>
        </w:rPr>
        <w:t>Se confirma la asociación de la formulación de la nueva PPSEV con el Proyecto 7937,</w:t>
      </w:r>
      <w:r w:rsidR="00522E1E">
        <w:rPr>
          <w:rFonts w:ascii="Arial" w:hAnsi="Arial" w:cs="Arial"/>
          <w:sz w:val="22"/>
          <w:szCs w:val="22"/>
        </w:rPr>
        <w:t xml:space="preserve"> </w:t>
      </w:r>
      <w:r w:rsidR="00522E1E" w:rsidRPr="00522E1E">
        <w:rPr>
          <w:rFonts w:ascii="Arial" w:hAnsi="Arial" w:cs="Arial"/>
          <w:b/>
          <w:bCs/>
          <w:sz w:val="22"/>
          <w:szCs w:val="22"/>
        </w:rPr>
        <w:t>“Generación de oportunidades para la inclusión social y productiva de las personas mayores en Bogotá D. C.” (BPIN 2024110010017)</w:t>
      </w:r>
      <w:r w:rsidR="00522E1E" w:rsidRPr="00522E1E">
        <w:rPr>
          <w:rFonts w:ascii="Arial" w:hAnsi="Arial" w:cs="Arial"/>
          <w:sz w:val="22"/>
          <w:szCs w:val="22"/>
        </w:rPr>
        <w:t>.</w:t>
      </w:r>
      <w:r w:rsidRPr="008F774E">
        <w:rPr>
          <w:rFonts w:ascii="Arial" w:hAnsi="Arial" w:cs="Arial"/>
          <w:sz w:val="22"/>
          <w:szCs w:val="22"/>
        </w:rPr>
        <w:t xml:space="preserve"> en los siguientes términos:</w:t>
      </w:r>
      <w:r w:rsidR="00522E1E">
        <w:rPr>
          <w:rFonts w:ascii="Arial" w:hAnsi="Arial" w:cs="Arial"/>
          <w:sz w:val="22"/>
          <w:szCs w:val="22"/>
        </w:rPr>
        <w:t xml:space="preserve"> </w:t>
      </w:r>
    </w:p>
    <w:p w14:paraId="4AE9A891" w14:textId="77777777" w:rsidR="008F774E" w:rsidRPr="008F774E" w:rsidRDefault="008F774E" w:rsidP="008F774E">
      <w:pPr>
        <w:rPr>
          <w:rFonts w:ascii="Arial" w:hAnsi="Arial" w:cs="Arial"/>
          <w:sz w:val="22"/>
          <w:szCs w:val="22"/>
        </w:rPr>
      </w:pPr>
      <w:r w:rsidRPr="008F774E">
        <w:rPr>
          <w:rFonts w:ascii="Arial" w:hAnsi="Arial" w:cs="Arial"/>
          <w:b/>
          <w:bCs/>
          <w:sz w:val="22"/>
          <w:szCs w:val="22"/>
        </w:rPr>
        <w:t>Actividad 1</w:t>
      </w:r>
      <w:r w:rsidRPr="008F774E">
        <w:rPr>
          <w:rFonts w:ascii="Arial" w:hAnsi="Arial" w:cs="Arial"/>
          <w:sz w:val="22"/>
          <w:szCs w:val="22"/>
        </w:rPr>
        <w:t>: “Atender a 85.898 personas mayores a través de procesos ocupacionales y de desarrollo humano, procesos de autocuidado, de cuidado integral y protección, a través de los servicios y estrategias de la Subdirección para la Vejez”.</w:t>
      </w:r>
    </w:p>
    <w:p w14:paraId="22CF5501" w14:textId="42592ECF" w:rsidR="00306868" w:rsidRPr="00306868" w:rsidRDefault="008F774E" w:rsidP="008F774E">
      <w:pPr>
        <w:rPr>
          <w:rFonts w:ascii="Arial" w:hAnsi="Arial" w:cs="Arial"/>
          <w:sz w:val="22"/>
          <w:szCs w:val="22"/>
        </w:rPr>
      </w:pPr>
      <w:r w:rsidRPr="008F774E">
        <w:rPr>
          <w:rFonts w:ascii="Arial" w:hAnsi="Arial" w:cs="Arial"/>
          <w:b/>
          <w:bCs/>
          <w:sz w:val="22"/>
          <w:szCs w:val="22"/>
        </w:rPr>
        <w:t>Tarea 8</w:t>
      </w:r>
      <w:r w:rsidRPr="008F774E">
        <w:rPr>
          <w:rFonts w:ascii="Arial" w:hAnsi="Arial" w:cs="Arial"/>
          <w:sz w:val="22"/>
          <w:szCs w:val="22"/>
        </w:rPr>
        <w:t>: “Adelantar la evaluación y la reformulación de la Política Pública Social para el Envejecimiento y la Vejez (PPSEV), teniendo en cuenta el concepto de nueva longevidad”.</w:t>
      </w:r>
    </w:p>
    <w:tbl>
      <w:tblPr>
        <w:tblStyle w:val="a0"/>
        <w:tblW w:w="8738" w:type="dxa"/>
        <w:tblInd w:w="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37"/>
        <w:gridCol w:w="2701"/>
      </w:tblGrid>
      <w:tr w:rsidR="00EA0D5B" w:rsidRPr="00306868" w14:paraId="4F58CC65" w14:textId="77777777" w:rsidTr="00A81937">
        <w:trPr>
          <w:trHeight w:val="360"/>
        </w:trPr>
        <w:tc>
          <w:tcPr>
            <w:tcW w:w="6037" w:type="dxa"/>
            <w:vAlign w:val="center"/>
          </w:tcPr>
          <w:p w14:paraId="274A6E5E" w14:textId="77777777" w:rsidR="00EA0D5B" w:rsidRPr="00306868" w:rsidRDefault="00EA0D5B" w:rsidP="00A81937">
            <w:pPr>
              <w:pBdr>
                <w:top w:val="nil"/>
                <w:left w:val="nil"/>
                <w:bottom w:val="nil"/>
                <w:right w:val="nil"/>
                <w:between w:val="nil"/>
              </w:pBdr>
              <w:spacing w:before="0" w:after="0"/>
              <w:jc w:val="center"/>
              <w:rPr>
                <w:rFonts w:ascii="Arial" w:eastAsia="Arial" w:hAnsi="Arial" w:cs="Arial"/>
                <w:b/>
                <w:color w:val="000000"/>
                <w:sz w:val="22"/>
                <w:szCs w:val="22"/>
              </w:rPr>
            </w:pPr>
            <w:r w:rsidRPr="00306868">
              <w:rPr>
                <w:rFonts w:ascii="Arial" w:eastAsia="Arial" w:hAnsi="Arial" w:cs="Arial"/>
                <w:b/>
                <w:color w:val="000000"/>
                <w:sz w:val="22"/>
                <w:szCs w:val="22"/>
              </w:rPr>
              <w:t>Fase</w:t>
            </w:r>
          </w:p>
        </w:tc>
        <w:tc>
          <w:tcPr>
            <w:tcW w:w="2701" w:type="dxa"/>
            <w:vAlign w:val="center"/>
          </w:tcPr>
          <w:p w14:paraId="6D78D38D" w14:textId="756DFE4C" w:rsidR="00EA0D5B" w:rsidRPr="00306868" w:rsidRDefault="007834ED" w:rsidP="00A81937">
            <w:pPr>
              <w:pBdr>
                <w:top w:val="nil"/>
                <w:left w:val="nil"/>
                <w:bottom w:val="nil"/>
                <w:right w:val="nil"/>
                <w:between w:val="nil"/>
              </w:pBdr>
              <w:spacing w:before="0" w:after="0"/>
              <w:jc w:val="center"/>
              <w:rPr>
                <w:rFonts w:ascii="Arial" w:eastAsia="Arial" w:hAnsi="Arial" w:cs="Arial"/>
                <w:b/>
                <w:color w:val="000000"/>
                <w:sz w:val="22"/>
                <w:szCs w:val="22"/>
              </w:rPr>
            </w:pPr>
            <w:r>
              <w:rPr>
                <w:rFonts w:ascii="Arial" w:hAnsi="Arial" w:cs="Arial"/>
                <w:b/>
                <w:bCs/>
                <w:sz w:val="22"/>
                <w:szCs w:val="22"/>
              </w:rPr>
              <w:t>Recursos Disponibles</w:t>
            </w:r>
          </w:p>
        </w:tc>
      </w:tr>
      <w:tr w:rsidR="00EA0D5B" w:rsidRPr="00306868" w14:paraId="0643F328" w14:textId="77777777" w:rsidTr="00A81937">
        <w:trPr>
          <w:trHeight w:val="640"/>
        </w:trPr>
        <w:tc>
          <w:tcPr>
            <w:tcW w:w="6037" w:type="dxa"/>
            <w:vAlign w:val="center"/>
          </w:tcPr>
          <w:p w14:paraId="2CC26C74" w14:textId="77777777" w:rsidR="00234B35" w:rsidRDefault="00EA0D5B" w:rsidP="00A81937">
            <w:pPr>
              <w:pBdr>
                <w:top w:val="nil"/>
                <w:left w:val="nil"/>
                <w:bottom w:val="nil"/>
                <w:right w:val="nil"/>
                <w:between w:val="nil"/>
              </w:pBdr>
              <w:spacing w:before="0" w:after="0"/>
              <w:rPr>
                <w:rFonts w:ascii="Arial" w:eastAsia="Arial" w:hAnsi="Arial" w:cs="Arial"/>
                <w:color w:val="000000"/>
                <w:sz w:val="22"/>
                <w:szCs w:val="22"/>
              </w:rPr>
            </w:pPr>
            <w:r w:rsidRPr="00306868">
              <w:rPr>
                <w:rFonts w:ascii="Arial" w:eastAsia="Arial" w:hAnsi="Arial" w:cs="Arial"/>
                <w:color w:val="000000"/>
                <w:sz w:val="22"/>
                <w:szCs w:val="22"/>
              </w:rPr>
              <w:t xml:space="preserve">Fase de </w:t>
            </w:r>
            <w:r w:rsidR="00084563">
              <w:rPr>
                <w:rFonts w:ascii="Arial" w:eastAsia="Arial" w:hAnsi="Arial" w:cs="Arial"/>
                <w:color w:val="000000"/>
                <w:sz w:val="22"/>
                <w:szCs w:val="22"/>
              </w:rPr>
              <w:t>Diagnóstico</w:t>
            </w:r>
            <w:r w:rsidRPr="00306868">
              <w:rPr>
                <w:rFonts w:ascii="Arial" w:eastAsia="Arial" w:hAnsi="Arial" w:cs="Arial"/>
                <w:color w:val="000000"/>
                <w:sz w:val="22"/>
                <w:szCs w:val="22"/>
              </w:rPr>
              <w:t>:</w:t>
            </w:r>
          </w:p>
          <w:p w14:paraId="24AB8FCE" w14:textId="77777777" w:rsidR="00234B35" w:rsidRPr="00234B35" w:rsidRDefault="00EA0D5B" w:rsidP="00234B35">
            <w:pPr>
              <w:pBdr>
                <w:top w:val="nil"/>
                <w:left w:val="nil"/>
                <w:bottom w:val="nil"/>
                <w:right w:val="nil"/>
                <w:between w:val="nil"/>
              </w:pBdr>
              <w:spacing w:before="0" w:after="0"/>
              <w:rPr>
                <w:rFonts w:ascii="Arial" w:eastAsia="Arial" w:hAnsi="Arial" w:cs="Arial"/>
                <w:color w:val="000000"/>
                <w:sz w:val="22"/>
                <w:szCs w:val="22"/>
              </w:rPr>
            </w:pPr>
            <w:r w:rsidRPr="00306868">
              <w:rPr>
                <w:rFonts w:ascii="Arial" w:eastAsia="Arial" w:hAnsi="Arial" w:cs="Arial"/>
                <w:color w:val="000000"/>
                <w:sz w:val="22"/>
                <w:szCs w:val="22"/>
              </w:rPr>
              <w:t xml:space="preserve"> </w:t>
            </w:r>
            <w:r w:rsidR="00234B35">
              <w:rPr>
                <w:rFonts w:ascii="Arial" w:eastAsia="Arial" w:hAnsi="Arial" w:cs="Arial"/>
                <w:color w:val="000000"/>
                <w:sz w:val="22"/>
                <w:szCs w:val="22"/>
              </w:rPr>
              <w:br/>
            </w:r>
            <w:r w:rsidR="00234B35" w:rsidRPr="00234B35">
              <w:rPr>
                <w:rFonts w:ascii="Arial" w:eastAsia="Arial" w:hAnsi="Arial" w:cs="Arial"/>
                <w:color w:val="000000"/>
                <w:sz w:val="22"/>
                <w:szCs w:val="22"/>
              </w:rPr>
              <w:t>Talento humano</w:t>
            </w:r>
          </w:p>
          <w:p w14:paraId="64B89CB0" w14:textId="77777777" w:rsidR="00234B35" w:rsidRPr="00234B35" w:rsidRDefault="00234B35" w:rsidP="00234B35">
            <w:pPr>
              <w:pBdr>
                <w:top w:val="nil"/>
                <w:left w:val="nil"/>
                <w:bottom w:val="nil"/>
                <w:right w:val="nil"/>
                <w:between w:val="nil"/>
              </w:pBdr>
              <w:spacing w:before="0" w:after="0"/>
              <w:rPr>
                <w:rFonts w:ascii="Arial" w:eastAsia="Arial" w:hAnsi="Arial" w:cs="Arial"/>
                <w:color w:val="000000"/>
                <w:sz w:val="22"/>
                <w:szCs w:val="22"/>
              </w:rPr>
            </w:pPr>
            <w:r w:rsidRPr="00234B35">
              <w:rPr>
                <w:rFonts w:ascii="Arial" w:eastAsia="Arial" w:hAnsi="Arial" w:cs="Arial"/>
                <w:color w:val="000000"/>
                <w:sz w:val="22"/>
                <w:szCs w:val="22"/>
              </w:rPr>
              <w:t>Instrumentos y tecnologías</w:t>
            </w:r>
          </w:p>
          <w:p w14:paraId="195FF763" w14:textId="77777777" w:rsidR="00234B35" w:rsidRPr="00234B35" w:rsidRDefault="00234B35" w:rsidP="00234B35">
            <w:pPr>
              <w:pBdr>
                <w:top w:val="nil"/>
                <w:left w:val="nil"/>
                <w:bottom w:val="nil"/>
                <w:right w:val="nil"/>
                <w:between w:val="nil"/>
              </w:pBdr>
              <w:spacing w:before="0" w:after="0"/>
              <w:rPr>
                <w:rFonts w:ascii="Arial" w:eastAsia="Arial" w:hAnsi="Arial" w:cs="Arial"/>
                <w:color w:val="000000"/>
                <w:sz w:val="22"/>
                <w:szCs w:val="22"/>
              </w:rPr>
            </w:pPr>
            <w:r w:rsidRPr="00234B35">
              <w:rPr>
                <w:rFonts w:ascii="Arial" w:eastAsia="Arial" w:hAnsi="Arial" w:cs="Arial"/>
                <w:color w:val="000000"/>
                <w:sz w:val="22"/>
                <w:szCs w:val="22"/>
              </w:rPr>
              <w:t>Espacios participativos y de diálogo</w:t>
            </w:r>
          </w:p>
          <w:p w14:paraId="7EA2D022" w14:textId="77777777" w:rsidR="00EA0D5B" w:rsidRDefault="00234B35" w:rsidP="00234B35">
            <w:pPr>
              <w:pBdr>
                <w:top w:val="nil"/>
                <w:left w:val="nil"/>
                <w:bottom w:val="nil"/>
                <w:right w:val="nil"/>
                <w:between w:val="nil"/>
              </w:pBdr>
              <w:spacing w:before="0" w:after="0"/>
              <w:rPr>
                <w:rFonts w:ascii="Arial" w:eastAsia="Arial" w:hAnsi="Arial" w:cs="Arial"/>
                <w:color w:val="000000"/>
                <w:sz w:val="22"/>
                <w:szCs w:val="22"/>
              </w:rPr>
            </w:pPr>
            <w:r w:rsidRPr="00234B35">
              <w:rPr>
                <w:rFonts w:ascii="Arial" w:eastAsia="Arial" w:hAnsi="Arial" w:cs="Arial"/>
                <w:color w:val="000000"/>
                <w:sz w:val="22"/>
                <w:szCs w:val="22"/>
              </w:rPr>
              <w:t>Logística y comunicaciones</w:t>
            </w:r>
          </w:p>
          <w:p w14:paraId="7BE0613D" w14:textId="11A25694" w:rsidR="00234B35" w:rsidRPr="00306868" w:rsidRDefault="00234B35" w:rsidP="00234B35">
            <w:pPr>
              <w:pBdr>
                <w:top w:val="nil"/>
                <w:left w:val="nil"/>
                <w:bottom w:val="nil"/>
                <w:right w:val="nil"/>
                <w:between w:val="nil"/>
              </w:pBdr>
              <w:spacing w:before="0" w:after="0"/>
              <w:rPr>
                <w:rFonts w:ascii="Arial" w:eastAsia="Arial" w:hAnsi="Arial" w:cs="Arial"/>
                <w:color w:val="000000"/>
                <w:sz w:val="22"/>
                <w:szCs w:val="22"/>
              </w:rPr>
            </w:pPr>
          </w:p>
        </w:tc>
        <w:tc>
          <w:tcPr>
            <w:tcW w:w="2701" w:type="dxa"/>
            <w:vAlign w:val="center"/>
          </w:tcPr>
          <w:p w14:paraId="69FF67F4" w14:textId="220BC0DC" w:rsidR="00EA0D5B" w:rsidRPr="00306868" w:rsidRDefault="00076431" w:rsidP="00A81937">
            <w:pPr>
              <w:pBdr>
                <w:top w:val="nil"/>
                <w:left w:val="nil"/>
                <w:bottom w:val="nil"/>
                <w:right w:val="nil"/>
                <w:between w:val="nil"/>
              </w:pBdr>
              <w:spacing w:before="0" w:after="0"/>
              <w:jc w:val="right"/>
              <w:rPr>
                <w:rFonts w:ascii="Arial" w:eastAsia="Arial" w:hAnsi="Arial" w:cs="Arial"/>
                <w:color w:val="000000"/>
                <w:sz w:val="22"/>
                <w:szCs w:val="22"/>
              </w:rPr>
            </w:pPr>
            <w:r w:rsidRPr="00076431">
              <w:rPr>
                <w:rFonts w:ascii="Arial" w:eastAsia="Arial" w:hAnsi="Arial" w:cs="Arial"/>
                <w:color w:val="000000"/>
                <w:sz w:val="22"/>
                <w:szCs w:val="22"/>
              </w:rPr>
              <w:t>$ 780.993.373</w:t>
            </w:r>
            <w:r w:rsidR="00EA0D5B" w:rsidRPr="00306868">
              <w:rPr>
                <w:rFonts w:ascii="Arial" w:eastAsia="Arial" w:hAnsi="Arial" w:cs="Arial"/>
                <w:color w:val="000000"/>
                <w:sz w:val="22"/>
                <w:szCs w:val="22"/>
              </w:rPr>
              <w:t xml:space="preserve">  </w:t>
            </w:r>
          </w:p>
        </w:tc>
      </w:tr>
      <w:tr w:rsidR="00EA0D5B" w:rsidRPr="00306868" w14:paraId="46B58F5F" w14:textId="77777777" w:rsidTr="00A81937">
        <w:trPr>
          <w:trHeight w:val="60"/>
        </w:trPr>
        <w:tc>
          <w:tcPr>
            <w:tcW w:w="6037" w:type="dxa"/>
            <w:vAlign w:val="center"/>
          </w:tcPr>
          <w:p w14:paraId="2C4E8137" w14:textId="77777777" w:rsidR="00234B35" w:rsidRDefault="00EA0D5B" w:rsidP="00A81937">
            <w:pPr>
              <w:pBdr>
                <w:top w:val="nil"/>
                <w:left w:val="nil"/>
                <w:bottom w:val="nil"/>
                <w:right w:val="nil"/>
                <w:between w:val="nil"/>
              </w:pBdr>
              <w:spacing w:before="0" w:after="0"/>
              <w:rPr>
                <w:rFonts w:ascii="Arial" w:eastAsia="Arial" w:hAnsi="Arial" w:cs="Arial"/>
                <w:color w:val="000000"/>
                <w:sz w:val="22"/>
                <w:szCs w:val="22"/>
              </w:rPr>
            </w:pPr>
            <w:r w:rsidRPr="00306868">
              <w:rPr>
                <w:rFonts w:ascii="Arial" w:eastAsia="Arial" w:hAnsi="Arial" w:cs="Arial"/>
                <w:color w:val="000000"/>
                <w:sz w:val="22"/>
                <w:szCs w:val="22"/>
              </w:rPr>
              <w:t>Fase de Formulación:</w:t>
            </w:r>
          </w:p>
          <w:p w14:paraId="5B31BC6A" w14:textId="77777777" w:rsidR="00234B35" w:rsidRPr="00234B35" w:rsidRDefault="00234B35" w:rsidP="00234B35">
            <w:pPr>
              <w:pBdr>
                <w:top w:val="nil"/>
                <w:left w:val="nil"/>
                <w:bottom w:val="nil"/>
                <w:right w:val="nil"/>
                <w:between w:val="nil"/>
              </w:pBdr>
              <w:spacing w:before="0" w:after="0"/>
              <w:rPr>
                <w:rFonts w:ascii="Arial" w:eastAsia="Arial" w:hAnsi="Arial" w:cs="Arial"/>
                <w:color w:val="000000"/>
                <w:sz w:val="22"/>
                <w:szCs w:val="22"/>
              </w:rPr>
            </w:pPr>
            <w:r>
              <w:rPr>
                <w:rFonts w:ascii="Arial" w:eastAsia="Arial" w:hAnsi="Arial" w:cs="Arial"/>
                <w:color w:val="000000"/>
                <w:sz w:val="22"/>
                <w:szCs w:val="22"/>
              </w:rPr>
              <w:br/>
            </w:r>
            <w:r w:rsidRPr="00234B35">
              <w:rPr>
                <w:rFonts w:ascii="Arial" w:eastAsia="Arial" w:hAnsi="Arial" w:cs="Arial"/>
                <w:color w:val="000000"/>
                <w:sz w:val="22"/>
                <w:szCs w:val="22"/>
              </w:rPr>
              <w:t>Talento humano</w:t>
            </w:r>
          </w:p>
          <w:p w14:paraId="1E1624E6" w14:textId="77777777" w:rsidR="00234B35" w:rsidRPr="00234B35" w:rsidRDefault="00234B35" w:rsidP="00234B35">
            <w:pPr>
              <w:pBdr>
                <w:top w:val="nil"/>
                <w:left w:val="nil"/>
                <w:bottom w:val="nil"/>
                <w:right w:val="nil"/>
                <w:between w:val="nil"/>
              </w:pBdr>
              <w:spacing w:before="0" w:after="0"/>
              <w:rPr>
                <w:rFonts w:ascii="Arial" w:eastAsia="Arial" w:hAnsi="Arial" w:cs="Arial"/>
                <w:color w:val="000000"/>
                <w:sz w:val="22"/>
                <w:szCs w:val="22"/>
              </w:rPr>
            </w:pPr>
            <w:r w:rsidRPr="00234B35">
              <w:rPr>
                <w:rFonts w:ascii="Arial" w:eastAsia="Arial" w:hAnsi="Arial" w:cs="Arial"/>
                <w:color w:val="000000"/>
                <w:sz w:val="22"/>
                <w:szCs w:val="22"/>
              </w:rPr>
              <w:t>Instrumentos y tecnologías</w:t>
            </w:r>
          </w:p>
          <w:p w14:paraId="52923EBB" w14:textId="77777777" w:rsidR="00234B35" w:rsidRPr="00234B35" w:rsidRDefault="00234B35" w:rsidP="00234B35">
            <w:pPr>
              <w:pBdr>
                <w:top w:val="nil"/>
                <w:left w:val="nil"/>
                <w:bottom w:val="nil"/>
                <w:right w:val="nil"/>
                <w:between w:val="nil"/>
              </w:pBdr>
              <w:spacing w:before="0" w:after="0"/>
              <w:rPr>
                <w:rFonts w:ascii="Arial" w:eastAsia="Arial" w:hAnsi="Arial" w:cs="Arial"/>
                <w:color w:val="000000"/>
                <w:sz w:val="22"/>
                <w:szCs w:val="22"/>
              </w:rPr>
            </w:pPr>
            <w:r w:rsidRPr="00234B35">
              <w:rPr>
                <w:rFonts w:ascii="Arial" w:eastAsia="Arial" w:hAnsi="Arial" w:cs="Arial"/>
                <w:color w:val="000000"/>
                <w:sz w:val="22"/>
                <w:szCs w:val="22"/>
              </w:rPr>
              <w:t>Espacios participativos y de diálogo</w:t>
            </w:r>
          </w:p>
          <w:p w14:paraId="7C64A9A1" w14:textId="77777777" w:rsidR="00234B35" w:rsidRDefault="00234B35" w:rsidP="00234B35">
            <w:pPr>
              <w:pBdr>
                <w:top w:val="nil"/>
                <w:left w:val="nil"/>
                <w:bottom w:val="nil"/>
                <w:right w:val="nil"/>
                <w:between w:val="nil"/>
              </w:pBdr>
              <w:spacing w:before="0" w:after="0"/>
              <w:rPr>
                <w:rFonts w:ascii="Arial" w:eastAsia="Arial" w:hAnsi="Arial" w:cs="Arial"/>
                <w:color w:val="000000"/>
                <w:sz w:val="22"/>
                <w:szCs w:val="22"/>
              </w:rPr>
            </w:pPr>
            <w:r w:rsidRPr="00234B35">
              <w:rPr>
                <w:rFonts w:ascii="Arial" w:eastAsia="Arial" w:hAnsi="Arial" w:cs="Arial"/>
                <w:color w:val="000000"/>
                <w:sz w:val="22"/>
                <w:szCs w:val="22"/>
              </w:rPr>
              <w:t>Logística y comunicaciones</w:t>
            </w:r>
          </w:p>
          <w:p w14:paraId="4F7D6818" w14:textId="3CCC85B1" w:rsidR="00234B35" w:rsidRDefault="00234B35" w:rsidP="00234B35">
            <w:pPr>
              <w:pBdr>
                <w:top w:val="nil"/>
                <w:left w:val="nil"/>
                <w:bottom w:val="nil"/>
                <w:right w:val="nil"/>
                <w:between w:val="nil"/>
              </w:pBdr>
              <w:spacing w:before="0" w:after="0"/>
              <w:rPr>
                <w:rFonts w:ascii="Arial" w:eastAsia="Arial" w:hAnsi="Arial" w:cs="Arial"/>
                <w:color w:val="000000"/>
                <w:sz w:val="22"/>
                <w:szCs w:val="22"/>
              </w:rPr>
            </w:pPr>
            <w:r>
              <w:rPr>
                <w:rFonts w:ascii="Arial" w:eastAsia="Arial" w:hAnsi="Arial" w:cs="Arial"/>
                <w:color w:val="000000"/>
                <w:sz w:val="22"/>
                <w:szCs w:val="22"/>
              </w:rPr>
              <w:t xml:space="preserve">Línea base </w:t>
            </w:r>
          </w:p>
          <w:p w14:paraId="77D3EE24" w14:textId="39C789F3" w:rsidR="00EA0D5B" w:rsidRPr="00306868" w:rsidRDefault="00EA0D5B" w:rsidP="00A81937">
            <w:pPr>
              <w:pBdr>
                <w:top w:val="nil"/>
                <w:left w:val="nil"/>
                <w:bottom w:val="nil"/>
                <w:right w:val="nil"/>
                <w:between w:val="nil"/>
              </w:pBdr>
              <w:spacing w:before="0" w:after="0"/>
              <w:rPr>
                <w:rFonts w:ascii="Arial" w:eastAsia="Arial" w:hAnsi="Arial" w:cs="Arial"/>
                <w:color w:val="000000"/>
                <w:sz w:val="22"/>
                <w:szCs w:val="22"/>
              </w:rPr>
            </w:pPr>
          </w:p>
        </w:tc>
        <w:tc>
          <w:tcPr>
            <w:tcW w:w="2701" w:type="dxa"/>
            <w:vAlign w:val="center"/>
          </w:tcPr>
          <w:p w14:paraId="1863C627" w14:textId="76589912" w:rsidR="00EA0D5B" w:rsidRPr="00306868" w:rsidRDefault="00EA0D5B" w:rsidP="00A81937">
            <w:pPr>
              <w:pBdr>
                <w:top w:val="nil"/>
                <w:left w:val="nil"/>
                <w:bottom w:val="nil"/>
                <w:right w:val="nil"/>
                <w:between w:val="nil"/>
              </w:pBdr>
              <w:spacing w:before="0" w:after="0"/>
              <w:jc w:val="right"/>
              <w:rPr>
                <w:rFonts w:ascii="Arial" w:eastAsia="Arial" w:hAnsi="Arial" w:cs="Arial"/>
                <w:color w:val="000000"/>
                <w:sz w:val="22"/>
                <w:szCs w:val="22"/>
              </w:rPr>
            </w:pPr>
            <w:r w:rsidRPr="00306868">
              <w:rPr>
                <w:rFonts w:ascii="Arial" w:eastAsia="Arial" w:hAnsi="Arial" w:cs="Arial"/>
                <w:color w:val="000000"/>
                <w:sz w:val="22"/>
                <w:szCs w:val="22"/>
              </w:rPr>
              <w:t xml:space="preserve"> </w:t>
            </w:r>
            <w:r w:rsidR="00076431" w:rsidRPr="00076431">
              <w:rPr>
                <w:rFonts w:ascii="Arial" w:eastAsia="Arial" w:hAnsi="Arial" w:cs="Arial"/>
                <w:color w:val="000000"/>
                <w:sz w:val="22"/>
                <w:szCs w:val="22"/>
              </w:rPr>
              <w:t>$ 648.768.764</w:t>
            </w:r>
            <w:r w:rsidRPr="00306868">
              <w:rPr>
                <w:rFonts w:ascii="Arial" w:eastAsia="Arial" w:hAnsi="Arial" w:cs="Arial"/>
                <w:color w:val="000000"/>
                <w:sz w:val="22"/>
                <w:szCs w:val="22"/>
              </w:rPr>
              <w:t xml:space="preserve">  </w:t>
            </w:r>
          </w:p>
        </w:tc>
      </w:tr>
      <w:tr w:rsidR="00EA0D5B" w:rsidRPr="00306868" w14:paraId="229CA627" w14:textId="77777777" w:rsidTr="00A81937">
        <w:trPr>
          <w:trHeight w:val="180"/>
        </w:trPr>
        <w:tc>
          <w:tcPr>
            <w:tcW w:w="6037" w:type="dxa"/>
            <w:vAlign w:val="center"/>
          </w:tcPr>
          <w:p w14:paraId="5FC1FA69" w14:textId="77777777" w:rsidR="00EA0D5B" w:rsidRPr="00306868" w:rsidRDefault="00EA0D5B" w:rsidP="00A81937">
            <w:pPr>
              <w:pBdr>
                <w:top w:val="nil"/>
                <w:left w:val="nil"/>
                <w:bottom w:val="nil"/>
                <w:right w:val="nil"/>
                <w:between w:val="nil"/>
              </w:pBdr>
              <w:spacing w:before="0" w:after="0"/>
              <w:rPr>
                <w:rFonts w:ascii="Arial" w:eastAsia="Arial" w:hAnsi="Arial" w:cs="Arial"/>
                <w:color w:val="000000"/>
                <w:sz w:val="22"/>
                <w:szCs w:val="22"/>
              </w:rPr>
            </w:pPr>
            <w:r w:rsidRPr="00306868">
              <w:rPr>
                <w:rFonts w:ascii="Arial" w:eastAsia="Arial" w:hAnsi="Arial" w:cs="Arial"/>
                <w:color w:val="000000"/>
                <w:sz w:val="22"/>
                <w:szCs w:val="22"/>
              </w:rPr>
              <w:t>Total</w:t>
            </w:r>
          </w:p>
        </w:tc>
        <w:tc>
          <w:tcPr>
            <w:tcW w:w="2701" w:type="dxa"/>
            <w:vAlign w:val="center"/>
          </w:tcPr>
          <w:p w14:paraId="2FB089A1" w14:textId="02689C62" w:rsidR="00EA0D5B" w:rsidRPr="00306868" w:rsidRDefault="00076431" w:rsidP="00A81937">
            <w:pPr>
              <w:pBdr>
                <w:top w:val="nil"/>
                <w:left w:val="nil"/>
                <w:bottom w:val="nil"/>
                <w:right w:val="nil"/>
                <w:between w:val="nil"/>
              </w:pBdr>
              <w:spacing w:before="0" w:after="0"/>
              <w:jc w:val="right"/>
              <w:rPr>
                <w:rFonts w:ascii="Arial" w:eastAsia="Arial" w:hAnsi="Arial" w:cs="Arial"/>
                <w:color w:val="000000"/>
                <w:sz w:val="22"/>
                <w:szCs w:val="22"/>
              </w:rPr>
            </w:pPr>
            <w:r w:rsidRPr="00076431">
              <w:rPr>
                <w:rFonts w:ascii="Arial" w:eastAsia="Arial" w:hAnsi="Arial" w:cs="Arial"/>
                <w:color w:val="000000"/>
                <w:sz w:val="22"/>
                <w:szCs w:val="22"/>
              </w:rPr>
              <w:t>$ 1.429.762.137</w:t>
            </w:r>
            <w:r w:rsidR="00EA0D5B" w:rsidRPr="00306868">
              <w:rPr>
                <w:rFonts w:ascii="Arial" w:eastAsia="Arial" w:hAnsi="Arial" w:cs="Arial"/>
                <w:color w:val="000000"/>
                <w:sz w:val="22"/>
                <w:szCs w:val="22"/>
              </w:rPr>
              <w:t xml:space="preserve">    </w:t>
            </w:r>
          </w:p>
        </w:tc>
      </w:tr>
    </w:tbl>
    <w:p w14:paraId="18C3FE2B" w14:textId="77777777" w:rsidR="00586A55" w:rsidRDefault="00586A55" w:rsidP="005E35FF">
      <w:pPr>
        <w:contextualSpacing/>
        <w:rPr>
          <w:rFonts w:ascii="Arial" w:hAnsi="Arial" w:cs="Arial"/>
          <w:sz w:val="22"/>
          <w:szCs w:val="22"/>
        </w:rPr>
      </w:pPr>
    </w:p>
    <w:p w14:paraId="42B3413E" w14:textId="14E10F0F" w:rsidR="00567341" w:rsidRDefault="00567341" w:rsidP="00567341">
      <w:pPr>
        <w:pStyle w:val="Prrafodelista"/>
        <w:numPr>
          <w:ilvl w:val="0"/>
          <w:numId w:val="34"/>
        </w:numPr>
        <w:spacing w:before="240" w:after="240"/>
        <w:rPr>
          <w:rFonts w:ascii="Arial" w:hAnsi="Arial" w:cs="Arial"/>
          <w:b/>
          <w:bCs/>
          <w:sz w:val="22"/>
          <w:szCs w:val="22"/>
        </w:rPr>
      </w:pPr>
      <w:r>
        <w:rPr>
          <w:rFonts w:ascii="Arial" w:hAnsi="Arial" w:cs="Arial"/>
          <w:b/>
          <w:bCs/>
          <w:sz w:val="22"/>
          <w:szCs w:val="22"/>
        </w:rPr>
        <w:lastRenderedPageBreak/>
        <w:t>Bibliografía</w:t>
      </w:r>
    </w:p>
    <w:p w14:paraId="3217D3BF" w14:textId="651A407B" w:rsidR="6F3BD31B" w:rsidRDefault="6F3BD31B" w:rsidP="6F3BD31B">
      <w:pPr>
        <w:spacing w:before="0" w:after="0"/>
        <w:rPr>
          <w:rFonts w:ascii="Arial" w:eastAsia="Arial" w:hAnsi="Arial" w:cs="Arial"/>
          <w:i/>
          <w:iCs/>
          <w:sz w:val="22"/>
          <w:szCs w:val="22"/>
        </w:rPr>
      </w:pPr>
    </w:p>
    <w:p w14:paraId="75A29D8E" w14:textId="239DC594" w:rsidR="246C3A79" w:rsidRDefault="246C3A79" w:rsidP="6F3BD31B">
      <w:pPr>
        <w:spacing w:before="0" w:after="0"/>
      </w:pPr>
      <w:r w:rsidRPr="6F3BD31B">
        <w:rPr>
          <w:rFonts w:ascii="Arial" w:eastAsia="Arial" w:hAnsi="Arial" w:cs="Arial"/>
          <w:i/>
          <w:iCs/>
          <w:sz w:val="22"/>
          <w:szCs w:val="22"/>
        </w:rPr>
        <w:t xml:space="preserve">Concejo de Bogotá D.C. (2024). Acuerdo 927 de 2024: </w:t>
      </w:r>
    </w:p>
    <w:p w14:paraId="79FB6579" w14:textId="726C892F" w:rsidR="246C3A79" w:rsidRDefault="246C3A79" w:rsidP="6F3BD31B">
      <w:pPr>
        <w:spacing w:before="0" w:after="0"/>
      </w:pPr>
      <w:r w:rsidRPr="6F3BD31B">
        <w:rPr>
          <w:rFonts w:ascii="Arial" w:eastAsia="Arial" w:hAnsi="Arial" w:cs="Arial"/>
          <w:sz w:val="22"/>
          <w:szCs w:val="22"/>
        </w:rPr>
        <w:t>Plan Distrital de Desarrollo Económico, Social, Ambiental y de Obras Públicas 2024</w:t>
      </w:r>
      <w:r w:rsidRPr="6F3BD31B">
        <w:rPr>
          <w:rFonts w:ascii="Cambria Math" w:eastAsia="Cambria Math" w:hAnsi="Cambria Math" w:cs="Cambria Math"/>
          <w:sz w:val="22"/>
          <w:szCs w:val="22"/>
        </w:rPr>
        <w:t>‑</w:t>
      </w:r>
      <w:r w:rsidRPr="6F3BD31B">
        <w:rPr>
          <w:rFonts w:ascii="Arial" w:eastAsia="Arial" w:hAnsi="Arial" w:cs="Arial"/>
          <w:sz w:val="22"/>
          <w:szCs w:val="22"/>
        </w:rPr>
        <w:t xml:space="preserve">2027 “Bogotá Camina Segura”. (304 pp.) Bogotá, D.C., Colombia: Concejo de Bogotá. </w:t>
      </w:r>
    </w:p>
    <w:p w14:paraId="0BFF9652" w14:textId="5505B8BA" w:rsidR="246C3A79" w:rsidRDefault="246C3A79" w:rsidP="6F3BD31B">
      <w:pPr>
        <w:spacing w:before="0" w:after="0"/>
      </w:pPr>
      <w:r w:rsidRPr="6F3BD31B">
        <w:rPr>
          <w:rFonts w:ascii="Arial" w:eastAsia="Arial" w:hAnsi="Arial" w:cs="Arial"/>
          <w:sz w:val="22"/>
          <w:szCs w:val="22"/>
        </w:rPr>
        <w:t>Recuperado de:</w:t>
      </w:r>
    </w:p>
    <w:p w14:paraId="08BADD8D" w14:textId="78D54573" w:rsidR="246C3A79" w:rsidRDefault="246C3A79" w:rsidP="6F3BD31B">
      <w:pPr>
        <w:spacing w:before="0" w:after="0"/>
      </w:pPr>
      <w:hyperlink r:id="rId12">
        <w:r w:rsidRPr="6F3BD31B">
          <w:rPr>
            <w:rStyle w:val="Hipervnculo"/>
            <w:rFonts w:ascii="Arial" w:eastAsia="Arial" w:hAnsi="Arial" w:cs="Arial"/>
            <w:color w:val="0563C1"/>
            <w:sz w:val="22"/>
            <w:szCs w:val="22"/>
          </w:rPr>
          <w:t>https://concejodebogota.gov.co/concejo/site/docs/20240124/asocfile/20240124201722/edicion_762_acuerdo_927_del_2024.pdf</w:t>
        </w:r>
      </w:hyperlink>
    </w:p>
    <w:p w14:paraId="62BC81A0" w14:textId="47AB7F39" w:rsidR="246C3A79" w:rsidRDefault="246C3A79" w:rsidP="6F3BD31B">
      <w:pPr>
        <w:spacing w:before="0" w:after="0"/>
      </w:pPr>
      <w:r w:rsidRPr="6F3BD31B">
        <w:rPr>
          <w:rFonts w:ascii="Arial" w:eastAsia="Arial" w:hAnsi="Arial" w:cs="Arial"/>
          <w:sz w:val="22"/>
          <w:szCs w:val="22"/>
        </w:rPr>
        <w:t xml:space="preserve"> </w:t>
      </w:r>
    </w:p>
    <w:p w14:paraId="5657054C" w14:textId="2E42DAE7" w:rsidR="246C3A79" w:rsidRDefault="246C3A79" w:rsidP="6F3BD31B">
      <w:pPr>
        <w:spacing w:before="0" w:after="0"/>
      </w:pPr>
      <w:r w:rsidRPr="6F3BD31B">
        <w:rPr>
          <w:rFonts w:ascii="Arial" w:eastAsia="Arial" w:hAnsi="Arial" w:cs="Arial"/>
          <w:i/>
          <w:iCs/>
          <w:sz w:val="22"/>
          <w:szCs w:val="22"/>
        </w:rPr>
        <w:t xml:space="preserve"> </w:t>
      </w:r>
    </w:p>
    <w:p w14:paraId="2616AF18" w14:textId="69DC22B3" w:rsidR="246C3A79" w:rsidRDefault="246C3A79" w:rsidP="6F3BD31B">
      <w:pPr>
        <w:spacing w:before="0" w:after="0"/>
      </w:pPr>
      <w:r w:rsidRPr="6F3BD31B">
        <w:rPr>
          <w:rFonts w:ascii="Arial" w:eastAsia="Arial" w:hAnsi="Arial" w:cs="Arial"/>
          <w:i/>
          <w:iCs/>
          <w:sz w:val="22"/>
          <w:szCs w:val="22"/>
        </w:rPr>
        <w:t xml:space="preserve">Departamento Administrativo Nacional de Estadística – DANE. (2023). </w:t>
      </w:r>
    </w:p>
    <w:p w14:paraId="37CABABB" w14:textId="7F6F5638" w:rsidR="246C3A79" w:rsidRDefault="246C3A79" w:rsidP="6F3BD31B">
      <w:pPr>
        <w:spacing w:before="0" w:after="0"/>
      </w:pPr>
      <w:r w:rsidRPr="6F3BD31B">
        <w:rPr>
          <w:rFonts w:ascii="Arial" w:eastAsia="Arial" w:hAnsi="Arial" w:cs="Arial"/>
          <w:sz w:val="22"/>
          <w:szCs w:val="22"/>
        </w:rPr>
        <w:t>Proyecciones de población derivadas del CNPV 2018: actualización post COVID</w:t>
      </w:r>
      <w:r w:rsidRPr="6F3BD31B">
        <w:rPr>
          <w:rFonts w:ascii="Cambria Math" w:eastAsia="Cambria Math" w:hAnsi="Cambria Math" w:cs="Cambria Math"/>
          <w:sz w:val="22"/>
          <w:szCs w:val="22"/>
        </w:rPr>
        <w:t>‑</w:t>
      </w:r>
      <w:r w:rsidRPr="6F3BD31B">
        <w:rPr>
          <w:rFonts w:ascii="Arial" w:eastAsia="Arial" w:hAnsi="Arial" w:cs="Arial"/>
          <w:sz w:val="22"/>
          <w:szCs w:val="22"/>
        </w:rPr>
        <w:t>19 (1950</w:t>
      </w:r>
      <w:r w:rsidRPr="6F3BD31B">
        <w:rPr>
          <w:rFonts w:ascii="Cambria Math" w:eastAsia="Cambria Math" w:hAnsi="Cambria Math" w:cs="Cambria Math"/>
          <w:sz w:val="22"/>
          <w:szCs w:val="22"/>
        </w:rPr>
        <w:t>‑</w:t>
      </w:r>
      <w:r w:rsidRPr="6F3BD31B">
        <w:rPr>
          <w:rFonts w:ascii="Arial" w:eastAsia="Arial" w:hAnsi="Arial" w:cs="Arial"/>
          <w:sz w:val="22"/>
          <w:szCs w:val="22"/>
        </w:rPr>
        <w:t xml:space="preserve">2070). Bogotá, D.C., Colombia: DANE. </w:t>
      </w:r>
    </w:p>
    <w:p w14:paraId="40C33098" w14:textId="43B4EF9F" w:rsidR="246C3A79" w:rsidRDefault="246C3A79" w:rsidP="6F3BD31B">
      <w:pPr>
        <w:spacing w:before="0" w:after="0"/>
      </w:pPr>
      <w:r w:rsidRPr="6F3BD31B">
        <w:rPr>
          <w:rFonts w:ascii="Arial" w:eastAsia="Arial" w:hAnsi="Arial" w:cs="Arial"/>
          <w:sz w:val="22"/>
          <w:szCs w:val="22"/>
        </w:rPr>
        <w:t xml:space="preserve">Recuperado de: </w:t>
      </w:r>
    </w:p>
    <w:p w14:paraId="28374AE2" w14:textId="3ABF71BB" w:rsidR="246C3A79" w:rsidRDefault="246C3A79" w:rsidP="6F3BD31B">
      <w:pPr>
        <w:spacing w:before="0" w:after="0"/>
      </w:pPr>
      <w:hyperlink r:id="rId13">
        <w:r w:rsidRPr="6F3BD31B">
          <w:rPr>
            <w:rStyle w:val="Hipervnculo"/>
            <w:rFonts w:ascii="Arial" w:eastAsia="Arial" w:hAnsi="Arial" w:cs="Arial"/>
            <w:color w:val="0563C1"/>
            <w:sz w:val="22"/>
            <w:szCs w:val="22"/>
          </w:rPr>
          <w:t>https://www.dane.gov.co/files/censo2018/proyecciones-de-poblacion/presentacion-Proypoblacion-IndDemograficos-ActPostCOVID.pdf</w:t>
        </w:r>
      </w:hyperlink>
    </w:p>
    <w:p w14:paraId="41DCF292" w14:textId="0FFC094C" w:rsidR="246C3A79" w:rsidRDefault="246C3A79" w:rsidP="6F3BD31B">
      <w:pPr>
        <w:spacing w:before="0" w:after="0"/>
      </w:pPr>
      <w:r w:rsidRPr="6F3BD31B">
        <w:rPr>
          <w:rFonts w:ascii="Arial" w:eastAsia="Arial" w:hAnsi="Arial" w:cs="Arial"/>
          <w:sz w:val="22"/>
          <w:szCs w:val="22"/>
        </w:rPr>
        <w:t xml:space="preserve"> </w:t>
      </w:r>
    </w:p>
    <w:p w14:paraId="78FB31A3" w14:textId="6DB61A58" w:rsidR="00567341" w:rsidRDefault="00567341" w:rsidP="00567341">
      <w:pPr>
        <w:spacing w:before="0" w:after="0"/>
      </w:pPr>
      <w:r w:rsidRPr="6F3BD31B">
        <w:rPr>
          <w:rFonts w:ascii="Arial" w:eastAsia="Arial" w:hAnsi="Arial" w:cs="Arial"/>
          <w:i/>
          <w:sz w:val="22"/>
          <w:szCs w:val="22"/>
        </w:rPr>
        <w:t xml:space="preserve">Departamento Administrativo Nacional de </w:t>
      </w:r>
      <w:r w:rsidR="246C3A79" w:rsidRPr="6F3BD31B">
        <w:rPr>
          <w:rFonts w:ascii="Arial" w:eastAsia="Arial" w:hAnsi="Arial" w:cs="Arial"/>
          <w:i/>
          <w:iCs/>
          <w:sz w:val="22"/>
          <w:szCs w:val="22"/>
        </w:rPr>
        <w:t>Estadística – DANE.</w:t>
      </w:r>
      <w:r w:rsidRPr="6F3BD31B">
        <w:rPr>
          <w:rFonts w:ascii="Arial" w:eastAsia="Arial" w:hAnsi="Arial" w:cs="Arial"/>
          <w:i/>
          <w:sz w:val="22"/>
          <w:szCs w:val="22"/>
        </w:rPr>
        <w:t xml:space="preserve"> (2023). </w:t>
      </w:r>
    </w:p>
    <w:p w14:paraId="1A127B6A" w14:textId="36D2E69D" w:rsidR="00567341" w:rsidRDefault="00567341" w:rsidP="00567341">
      <w:pPr>
        <w:spacing w:before="0" w:after="0"/>
      </w:pPr>
      <w:r w:rsidRPr="6F3BD31B">
        <w:rPr>
          <w:rFonts w:ascii="Arial" w:eastAsia="Arial" w:hAnsi="Arial" w:cs="Arial"/>
          <w:sz w:val="22"/>
          <w:szCs w:val="22"/>
        </w:rPr>
        <w:t xml:space="preserve">Proyecciones de población derivadas del Censo Nacional de Población y </w:t>
      </w:r>
      <w:r w:rsidR="246C3A79" w:rsidRPr="6F3BD31B">
        <w:rPr>
          <w:rFonts w:ascii="Arial" w:eastAsia="Arial" w:hAnsi="Arial" w:cs="Arial"/>
          <w:sz w:val="22"/>
          <w:szCs w:val="22"/>
        </w:rPr>
        <w:t>Vivienda 2018 (serie ajustada post</w:t>
      </w:r>
      <w:r w:rsidR="246C3A79" w:rsidRPr="6F3BD31B">
        <w:rPr>
          <w:rFonts w:ascii="Cambria Math" w:eastAsia="Cambria Math" w:hAnsi="Cambria Math" w:cs="Cambria Math"/>
          <w:sz w:val="22"/>
          <w:szCs w:val="22"/>
        </w:rPr>
        <w:t>‑</w:t>
      </w:r>
      <w:r w:rsidR="246C3A79" w:rsidRPr="6F3BD31B">
        <w:rPr>
          <w:rFonts w:ascii="Arial" w:eastAsia="Arial" w:hAnsi="Arial" w:cs="Arial"/>
          <w:sz w:val="22"/>
          <w:szCs w:val="22"/>
        </w:rPr>
        <w:t>pandemia). Bogotá, D.C., Colombia</w:t>
      </w:r>
      <w:r w:rsidRPr="6F3BD31B">
        <w:rPr>
          <w:rFonts w:ascii="Arial" w:eastAsia="Arial" w:hAnsi="Arial" w:cs="Arial"/>
          <w:sz w:val="22"/>
          <w:szCs w:val="22"/>
        </w:rPr>
        <w:t xml:space="preserve">: DANE. </w:t>
      </w:r>
    </w:p>
    <w:p w14:paraId="44B3630B" w14:textId="16129574" w:rsidR="00567341" w:rsidRDefault="00567341" w:rsidP="00567341">
      <w:pPr>
        <w:spacing w:before="0" w:after="0"/>
      </w:pPr>
      <w:r w:rsidRPr="6F3BD31B">
        <w:rPr>
          <w:rFonts w:ascii="Arial" w:eastAsia="Arial" w:hAnsi="Arial" w:cs="Arial"/>
          <w:sz w:val="22"/>
          <w:szCs w:val="22"/>
        </w:rPr>
        <w:t xml:space="preserve">Recuperado de: </w:t>
      </w:r>
    </w:p>
    <w:p w14:paraId="55FDC5B6" w14:textId="4EA14119" w:rsidR="246C3A79" w:rsidRDefault="246C3A79" w:rsidP="6F3BD31B">
      <w:pPr>
        <w:spacing w:before="0" w:after="0"/>
      </w:pPr>
      <w:hyperlink r:id="rId14">
        <w:r w:rsidRPr="6F3BD31B">
          <w:rPr>
            <w:rStyle w:val="Hipervnculo"/>
            <w:rFonts w:ascii="Arial" w:eastAsia="Arial" w:hAnsi="Arial" w:cs="Arial"/>
            <w:color w:val="0563C1"/>
            <w:sz w:val="22"/>
            <w:szCs w:val="22"/>
          </w:rPr>
          <w:t>https://www.dane.gov.co/index.php/estadisticas-por-tema/demografia-y-poblacion/proyecciones-de-poblacion</w:t>
        </w:r>
      </w:hyperlink>
    </w:p>
    <w:p w14:paraId="6F5C4912" w14:textId="2252696B" w:rsidR="246C3A79" w:rsidRDefault="246C3A79" w:rsidP="6F3BD31B">
      <w:pPr>
        <w:spacing w:before="0" w:after="0"/>
      </w:pPr>
      <w:r w:rsidRPr="6F3BD31B">
        <w:rPr>
          <w:rFonts w:ascii="Arial" w:eastAsia="Arial" w:hAnsi="Arial" w:cs="Arial"/>
          <w:sz w:val="22"/>
          <w:szCs w:val="22"/>
        </w:rPr>
        <w:t xml:space="preserve"> </w:t>
      </w:r>
    </w:p>
    <w:p w14:paraId="6F3D9E8E" w14:textId="2240C81B" w:rsidR="246C3A79" w:rsidRDefault="246C3A79" w:rsidP="6F3BD31B">
      <w:pPr>
        <w:spacing w:before="0" w:after="0" w:line="257" w:lineRule="auto"/>
      </w:pPr>
      <w:r w:rsidRPr="6F3BD31B">
        <w:rPr>
          <w:rFonts w:ascii="Arial" w:eastAsia="Arial" w:hAnsi="Arial" w:cs="Arial"/>
          <w:i/>
          <w:iCs/>
          <w:sz w:val="22"/>
          <w:szCs w:val="22"/>
        </w:rPr>
        <w:t xml:space="preserve">Fedesarrollo y Fundación Saldarriaga Concha. (2015). </w:t>
      </w:r>
    </w:p>
    <w:p w14:paraId="4D920CC2" w14:textId="7B17B1B2" w:rsidR="246C3A79" w:rsidRDefault="246C3A79" w:rsidP="6F3BD31B">
      <w:pPr>
        <w:spacing w:before="0" w:after="0" w:line="257" w:lineRule="auto"/>
      </w:pPr>
      <w:r w:rsidRPr="6F3BD31B">
        <w:rPr>
          <w:rFonts w:ascii="Arial" w:eastAsia="Arial" w:hAnsi="Arial" w:cs="Arial"/>
          <w:sz w:val="22"/>
          <w:szCs w:val="22"/>
        </w:rPr>
        <w:t>Misión Colombia Envejece: cifras, retos y recomendaciones. Editorial Fundación Saldarriaga Concha. (706 pp.) Bogotá, D.C. Colombia.</w:t>
      </w:r>
    </w:p>
    <w:p w14:paraId="639DF76D" w14:textId="48670739" w:rsidR="246C3A79" w:rsidRDefault="246C3A79" w:rsidP="6F3BD31B">
      <w:pPr>
        <w:spacing w:before="0" w:after="0" w:line="257" w:lineRule="auto"/>
      </w:pPr>
      <w:r w:rsidRPr="6F3BD31B">
        <w:rPr>
          <w:rFonts w:ascii="Arial" w:eastAsia="Arial" w:hAnsi="Arial" w:cs="Arial"/>
          <w:sz w:val="22"/>
          <w:szCs w:val="22"/>
        </w:rPr>
        <w:t>Recuperado de</w:t>
      </w:r>
    </w:p>
    <w:p w14:paraId="430AD66B" w14:textId="64290AD5" w:rsidR="246C3A79" w:rsidRDefault="246C3A79" w:rsidP="6F3BD31B">
      <w:pPr>
        <w:spacing w:before="0" w:after="0" w:line="257" w:lineRule="auto"/>
        <w:ind w:right="-376"/>
      </w:pPr>
      <w:hyperlink r:id="rId15">
        <w:r w:rsidRPr="6F3BD31B">
          <w:rPr>
            <w:rStyle w:val="Hipervnculo"/>
            <w:rFonts w:ascii="Arial" w:eastAsia="Arial" w:hAnsi="Arial" w:cs="Arial"/>
            <w:color w:val="0563C1"/>
            <w:sz w:val="22"/>
            <w:szCs w:val="22"/>
          </w:rPr>
          <w:t>https://www.saldarriagaconcha.org/wp-content/uploads/2019/01/pm_proceso_envejecimiento.pdf</w:t>
        </w:r>
      </w:hyperlink>
    </w:p>
    <w:p w14:paraId="382E9624" w14:textId="1D495993" w:rsidR="246C3A79" w:rsidRDefault="246C3A79" w:rsidP="6F3BD31B">
      <w:pPr>
        <w:spacing w:before="0" w:after="0" w:line="257" w:lineRule="auto"/>
      </w:pPr>
      <w:r w:rsidRPr="6F3BD31B">
        <w:rPr>
          <w:rFonts w:ascii="Arial" w:eastAsia="Arial" w:hAnsi="Arial" w:cs="Arial"/>
          <w:sz w:val="22"/>
          <w:szCs w:val="22"/>
        </w:rPr>
        <w:t xml:space="preserve"> </w:t>
      </w:r>
    </w:p>
    <w:p w14:paraId="0DA242C8" w14:textId="3E292A02" w:rsidR="246C3A79" w:rsidRDefault="246C3A79" w:rsidP="6F3BD31B">
      <w:pPr>
        <w:spacing w:before="0" w:after="0" w:line="257" w:lineRule="auto"/>
      </w:pPr>
      <w:r w:rsidRPr="6F3BD31B">
        <w:rPr>
          <w:rFonts w:ascii="Arial" w:eastAsia="Arial" w:hAnsi="Arial" w:cs="Arial"/>
          <w:i/>
          <w:iCs/>
          <w:sz w:val="22"/>
          <w:szCs w:val="22"/>
        </w:rPr>
        <w:t xml:space="preserve">Fundación Saldarriaga Concha, Fedesarrollo, PROESA y DANE. (2023). </w:t>
      </w:r>
    </w:p>
    <w:p w14:paraId="7B4E5849" w14:textId="3E2C18A3" w:rsidR="246C3A79" w:rsidRDefault="246C3A79" w:rsidP="6F3BD31B">
      <w:pPr>
        <w:spacing w:before="0" w:after="0" w:line="257" w:lineRule="auto"/>
      </w:pPr>
      <w:r w:rsidRPr="6F3BD31B">
        <w:rPr>
          <w:rFonts w:ascii="Arial" w:eastAsia="Arial" w:hAnsi="Arial" w:cs="Arial"/>
          <w:i/>
          <w:iCs/>
          <w:sz w:val="22"/>
          <w:szCs w:val="22"/>
        </w:rPr>
        <w:t xml:space="preserve">Misión Colombia Envejece - Una Investigación Viva. </w:t>
      </w:r>
      <w:r w:rsidRPr="6F3BD31B">
        <w:rPr>
          <w:rFonts w:ascii="Arial" w:eastAsia="Arial" w:hAnsi="Arial" w:cs="Arial"/>
          <w:sz w:val="22"/>
          <w:szCs w:val="22"/>
        </w:rPr>
        <w:t xml:space="preserve">(597 pp.) </w:t>
      </w:r>
      <w:r w:rsidRPr="6F3BD31B">
        <w:rPr>
          <w:rFonts w:ascii="Arial" w:eastAsia="Arial" w:hAnsi="Arial" w:cs="Arial"/>
          <w:i/>
          <w:iCs/>
          <w:sz w:val="22"/>
          <w:szCs w:val="22"/>
        </w:rPr>
        <w:t xml:space="preserve">Bogotá, D.C. Colombia. </w:t>
      </w:r>
    </w:p>
    <w:p w14:paraId="207A2831" w14:textId="7FDB34B2" w:rsidR="246C3A79" w:rsidRDefault="246C3A79" w:rsidP="6F3BD31B">
      <w:pPr>
        <w:spacing w:before="0" w:after="0" w:line="257" w:lineRule="auto"/>
      </w:pPr>
      <w:r w:rsidRPr="6F3BD31B">
        <w:rPr>
          <w:rFonts w:ascii="Arial" w:eastAsia="Arial" w:hAnsi="Arial" w:cs="Arial"/>
          <w:sz w:val="22"/>
          <w:szCs w:val="22"/>
        </w:rPr>
        <w:t>Recuperado de:</w:t>
      </w:r>
    </w:p>
    <w:p w14:paraId="7FF27446" w14:textId="168BAD63" w:rsidR="246C3A79" w:rsidRDefault="246C3A79" w:rsidP="6F3BD31B">
      <w:pPr>
        <w:spacing w:before="0" w:after="0" w:line="257" w:lineRule="auto"/>
      </w:pPr>
      <w:hyperlink r:id="rId16">
        <w:r w:rsidRPr="6F3BD31B">
          <w:rPr>
            <w:rStyle w:val="Hipervnculo"/>
            <w:rFonts w:ascii="Arial" w:eastAsia="Arial" w:hAnsi="Arial" w:cs="Arial"/>
            <w:color w:val="0563C1"/>
            <w:sz w:val="22"/>
            <w:szCs w:val="22"/>
          </w:rPr>
          <w:t>https://www.saldarriagaconcha.org/wp-content/uploads/2023/11/MCE-00-1-Completo-Octubre12-2023.pdf</w:t>
        </w:r>
      </w:hyperlink>
    </w:p>
    <w:p w14:paraId="29B32BE3" w14:textId="6134F26D" w:rsidR="246C3A79" w:rsidRDefault="246C3A79" w:rsidP="6F3BD31B">
      <w:pPr>
        <w:spacing w:before="0" w:after="0"/>
      </w:pPr>
      <w:r w:rsidRPr="6F3BD31B">
        <w:rPr>
          <w:rFonts w:ascii="Arial" w:eastAsia="Arial" w:hAnsi="Arial" w:cs="Arial"/>
          <w:i/>
          <w:iCs/>
          <w:sz w:val="22"/>
          <w:szCs w:val="22"/>
        </w:rPr>
        <w:t xml:space="preserve"> </w:t>
      </w:r>
    </w:p>
    <w:p w14:paraId="1D5DEC72" w14:textId="4F013BBF" w:rsidR="246C3A79" w:rsidRDefault="246C3A79" w:rsidP="6F3BD31B">
      <w:pPr>
        <w:spacing w:before="0" w:after="0" w:line="257" w:lineRule="auto"/>
        <w:jc w:val="left"/>
      </w:pPr>
      <w:r w:rsidRPr="6F3BD31B">
        <w:rPr>
          <w:rFonts w:ascii="Arial" w:eastAsia="Arial" w:hAnsi="Arial" w:cs="Arial"/>
          <w:i/>
          <w:iCs/>
          <w:color w:val="000000" w:themeColor="text1"/>
          <w:sz w:val="22"/>
          <w:szCs w:val="22"/>
        </w:rPr>
        <w:t xml:space="preserve">Ministerio de Salud y Protección Social. (2015). </w:t>
      </w:r>
    </w:p>
    <w:p w14:paraId="176D7C2E" w14:textId="279359DD" w:rsidR="246C3A79" w:rsidRDefault="246C3A79" w:rsidP="6F3BD31B">
      <w:pPr>
        <w:spacing w:before="0" w:after="0" w:line="257" w:lineRule="auto"/>
        <w:jc w:val="left"/>
      </w:pPr>
      <w:r w:rsidRPr="6F3BD31B">
        <w:rPr>
          <w:rFonts w:ascii="Arial" w:eastAsia="Arial" w:hAnsi="Arial" w:cs="Arial"/>
          <w:color w:val="000000" w:themeColor="text1"/>
          <w:sz w:val="22"/>
          <w:szCs w:val="22"/>
        </w:rPr>
        <w:t xml:space="preserve">Estudio Nacional de Salud, Bienestar y Envejecimiento (SABE Colombia).(11 pp).Bogota D.C. Colombia. </w:t>
      </w:r>
    </w:p>
    <w:p w14:paraId="6D597337" w14:textId="7408C5B4" w:rsidR="246C3A79" w:rsidRDefault="246C3A79" w:rsidP="6F3BD31B">
      <w:pPr>
        <w:spacing w:before="0" w:after="0" w:line="257" w:lineRule="auto"/>
        <w:jc w:val="left"/>
      </w:pPr>
      <w:r w:rsidRPr="6F3BD31B">
        <w:rPr>
          <w:rFonts w:ascii="Arial" w:eastAsia="Arial" w:hAnsi="Arial" w:cs="Arial"/>
          <w:color w:val="000000" w:themeColor="text1"/>
          <w:sz w:val="22"/>
          <w:szCs w:val="22"/>
        </w:rPr>
        <w:t>Recuperado de</w:t>
      </w:r>
    </w:p>
    <w:p w14:paraId="505B6B28" w14:textId="0FB68734" w:rsidR="246C3A79" w:rsidRDefault="246C3A79" w:rsidP="6F3BD31B">
      <w:pPr>
        <w:spacing w:before="0" w:after="0" w:line="257" w:lineRule="auto"/>
        <w:jc w:val="left"/>
      </w:pPr>
      <w:r w:rsidRPr="6F3BD31B">
        <w:rPr>
          <w:rFonts w:ascii="Arial" w:eastAsia="Arial" w:hAnsi="Arial" w:cs="Arial"/>
          <w:color w:val="000000" w:themeColor="text1"/>
          <w:sz w:val="22"/>
          <w:szCs w:val="22"/>
        </w:rPr>
        <w:t xml:space="preserve"> </w:t>
      </w:r>
      <w:hyperlink r:id="rId17">
        <w:r w:rsidRPr="6F3BD31B">
          <w:rPr>
            <w:rStyle w:val="Hipervnculo"/>
            <w:rFonts w:ascii="Arial" w:eastAsia="Arial" w:hAnsi="Arial" w:cs="Arial"/>
            <w:color w:val="0563C1"/>
            <w:sz w:val="22"/>
            <w:szCs w:val="22"/>
          </w:rPr>
          <w:t>https://www.minsalud.gov.co/sites/rid/lists/bibliotecaDigital/RIDE/VS/ED/GCFI/Resumen-ejecutivo-encuesta-SABE.pdf</w:t>
        </w:r>
      </w:hyperlink>
    </w:p>
    <w:p w14:paraId="19C7946D" w14:textId="0B4B1148" w:rsidR="246C3A79" w:rsidRDefault="246C3A79" w:rsidP="6F3BD31B">
      <w:pPr>
        <w:spacing w:before="0" w:after="0" w:line="257" w:lineRule="auto"/>
        <w:jc w:val="left"/>
      </w:pPr>
      <w:r w:rsidRPr="6F3BD31B">
        <w:rPr>
          <w:rFonts w:ascii="Arial" w:eastAsia="Arial" w:hAnsi="Arial" w:cs="Arial"/>
          <w:color w:val="000000" w:themeColor="text1"/>
          <w:sz w:val="22"/>
          <w:szCs w:val="22"/>
        </w:rPr>
        <w:t xml:space="preserve"> </w:t>
      </w:r>
    </w:p>
    <w:p w14:paraId="54BB6D0B" w14:textId="34225A0A" w:rsidR="246C3A79" w:rsidRDefault="246C3A79" w:rsidP="6F3BD31B">
      <w:pPr>
        <w:spacing w:before="0" w:after="0"/>
      </w:pPr>
      <w:r w:rsidRPr="6F3BD31B">
        <w:rPr>
          <w:rFonts w:ascii="Arial" w:eastAsia="Arial" w:hAnsi="Arial" w:cs="Arial"/>
          <w:sz w:val="22"/>
          <w:szCs w:val="22"/>
        </w:rPr>
        <w:t xml:space="preserve"> </w:t>
      </w:r>
    </w:p>
    <w:p w14:paraId="4ADD7C4C" w14:textId="0D1EDFDD" w:rsidR="246C3A79" w:rsidRDefault="246C3A79" w:rsidP="6F3BD31B">
      <w:pPr>
        <w:spacing w:before="0" w:after="0" w:line="257" w:lineRule="auto"/>
        <w:jc w:val="left"/>
      </w:pPr>
      <w:r w:rsidRPr="6F3BD31B">
        <w:rPr>
          <w:rFonts w:ascii="Arial" w:eastAsia="Arial" w:hAnsi="Arial" w:cs="Arial"/>
          <w:i/>
          <w:iCs/>
          <w:color w:val="000000" w:themeColor="text1"/>
          <w:sz w:val="22"/>
          <w:szCs w:val="22"/>
        </w:rPr>
        <w:t>Ministerio de Salud y Protección Social (2023)</w:t>
      </w:r>
    </w:p>
    <w:p w14:paraId="54077822" w14:textId="7B7941D1" w:rsidR="246C3A79" w:rsidRDefault="246C3A79" w:rsidP="6F3BD31B">
      <w:pPr>
        <w:spacing w:before="0" w:after="0" w:line="257" w:lineRule="auto"/>
        <w:jc w:val="left"/>
      </w:pPr>
      <w:r w:rsidRPr="6F3BD31B">
        <w:rPr>
          <w:rFonts w:ascii="Arial" w:eastAsia="Arial" w:hAnsi="Arial" w:cs="Arial"/>
          <w:color w:val="000000" w:themeColor="text1"/>
          <w:sz w:val="22"/>
          <w:szCs w:val="22"/>
        </w:rPr>
        <w:t>Informe al Congreso de la República Política Pública Nacional de Envejecimiento y Vejez 2022 – 2031 Vigencia 2023. (pp134.)Bogotá D.C. Colombia</w:t>
      </w:r>
    </w:p>
    <w:p w14:paraId="0A2ADF73" w14:textId="18E83C24" w:rsidR="246C3A79" w:rsidRDefault="246C3A79" w:rsidP="6F3BD31B">
      <w:pPr>
        <w:spacing w:before="0" w:after="0" w:line="257" w:lineRule="auto"/>
        <w:jc w:val="left"/>
      </w:pPr>
      <w:r w:rsidRPr="6F3BD31B">
        <w:rPr>
          <w:rFonts w:ascii="Arial" w:eastAsia="Arial" w:hAnsi="Arial" w:cs="Arial"/>
          <w:color w:val="000000" w:themeColor="text1"/>
          <w:sz w:val="22"/>
          <w:szCs w:val="22"/>
        </w:rPr>
        <w:lastRenderedPageBreak/>
        <w:t>Recuperado De:</w:t>
      </w:r>
    </w:p>
    <w:p w14:paraId="403B21A4" w14:textId="63C4770E" w:rsidR="246C3A79" w:rsidRDefault="246C3A79" w:rsidP="6F3BD31B">
      <w:pPr>
        <w:spacing w:before="0" w:after="0" w:line="257" w:lineRule="auto"/>
        <w:jc w:val="left"/>
      </w:pPr>
      <w:hyperlink r:id="rId18">
        <w:r w:rsidRPr="6F3BD31B">
          <w:rPr>
            <w:rStyle w:val="Hipervnculo"/>
            <w:rFonts w:ascii="Arial" w:eastAsia="Arial" w:hAnsi="Arial" w:cs="Arial"/>
            <w:color w:val="0563C1"/>
            <w:sz w:val="22"/>
            <w:szCs w:val="22"/>
          </w:rPr>
          <w:t>https://www.minsalud.gov.co/sites/rid/Lists/BibliotecaDigital/RIDE/DE/PS/politica-publica-nacional-envejecimiento-vejez-2022-2031.pdf</w:t>
        </w:r>
      </w:hyperlink>
    </w:p>
    <w:p w14:paraId="19F1F00D" w14:textId="0F1AF1AB" w:rsidR="246C3A79" w:rsidRDefault="246C3A79" w:rsidP="6F3BD31B">
      <w:pPr>
        <w:spacing w:before="0" w:after="0"/>
      </w:pPr>
      <w:r w:rsidRPr="6F3BD31B">
        <w:rPr>
          <w:rFonts w:ascii="Arial" w:eastAsia="Arial" w:hAnsi="Arial" w:cs="Arial"/>
          <w:i/>
          <w:iCs/>
          <w:sz w:val="22"/>
          <w:szCs w:val="22"/>
        </w:rPr>
        <w:t xml:space="preserve"> </w:t>
      </w:r>
    </w:p>
    <w:p w14:paraId="73864E1F" w14:textId="0F3F63E9" w:rsidR="246C3A79" w:rsidRDefault="246C3A79" w:rsidP="6F3BD31B">
      <w:pPr>
        <w:spacing w:before="0" w:after="0" w:line="257" w:lineRule="auto"/>
        <w:jc w:val="left"/>
      </w:pPr>
      <w:r w:rsidRPr="6F3BD31B">
        <w:rPr>
          <w:rFonts w:ascii="Arial" w:eastAsia="Arial" w:hAnsi="Arial" w:cs="Arial"/>
          <w:i/>
          <w:iCs/>
          <w:sz w:val="22"/>
          <w:szCs w:val="22"/>
        </w:rPr>
        <w:t xml:space="preserve">Organización de las </w:t>
      </w:r>
      <w:r w:rsidRPr="6F3BD31B">
        <w:rPr>
          <w:rFonts w:ascii="Arial" w:eastAsia="Arial" w:hAnsi="Arial" w:cs="Arial"/>
          <w:i/>
          <w:iCs/>
          <w:color w:val="000000" w:themeColor="text1"/>
          <w:sz w:val="22"/>
          <w:szCs w:val="22"/>
        </w:rPr>
        <w:t xml:space="preserve">Naciones Unidas. (2015). </w:t>
      </w:r>
    </w:p>
    <w:p w14:paraId="2883304A" w14:textId="7ED8F440" w:rsidR="246C3A79" w:rsidRDefault="246C3A79" w:rsidP="6F3BD31B">
      <w:pPr>
        <w:spacing w:before="0" w:after="0" w:line="257" w:lineRule="auto"/>
        <w:jc w:val="left"/>
      </w:pPr>
      <w:r w:rsidRPr="6F3BD31B">
        <w:rPr>
          <w:rFonts w:ascii="Arial" w:eastAsia="Arial" w:hAnsi="Arial" w:cs="Arial"/>
          <w:color w:val="000000" w:themeColor="text1"/>
          <w:sz w:val="22"/>
          <w:szCs w:val="22"/>
        </w:rPr>
        <w:t>Transformar nuestro mundo: la Agenda 2030 para el Desarrollo Sostenible. (Resolución A/RES/70/1)</w:t>
      </w:r>
    </w:p>
    <w:p w14:paraId="2B46C93C" w14:textId="5A6D20CA" w:rsidR="246C3A79" w:rsidRDefault="246C3A79" w:rsidP="6F3BD31B">
      <w:pPr>
        <w:spacing w:before="0" w:after="0" w:line="257" w:lineRule="auto"/>
        <w:jc w:val="left"/>
      </w:pPr>
      <w:r w:rsidRPr="6F3BD31B">
        <w:rPr>
          <w:rFonts w:ascii="Arial" w:eastAsia="Arial" w:hAnsi="Arial" w:cs="Arial"/>
          <w:color w:val="000000" w:themeColor="text1"/>
          <w:sz w:val="22"/>
          <w:szCs w:val="22"/>
        </w:rPr>
        <w:t>Recuperado De:</w:t>
      </w:r>
    </w:p>
    <w:p w14:paraId="09673C05" w14:textId="6DD068CF" w:rsidR="246C3A79" w:rsidRDefault="246C3A79" w:rsidP="6F3BD31B">
      <w:pPr>
        <w:spacing w:before="0" w:after="0" w:line="257" w:lineRule="auto"/>
        <w:jc w:val="left"/>
      </w:pPr>
      <w:hyperlink r:id="rId19">
        <w:r w:rsidRPr="6F3BD31B">
          <w:rPr>
            <w:rStyle w:val="Hipervnculo"/>
            <w:rFonts w:ascii="Arial" w:eastAsia="Arial" w:hAnsi="Arial" w:cs="Arial"/>
            <w:color w:val="0563C1"/>
            <w:sz w:val="22"/>
            <w:szCs w:val="22"/>
          </w:rPr>
          <w:t>https://unctad.org/system/files/official-document/ares70d1_es.pdf</w:t>
        </w:r>
      </w:hyperlink>
    </w:p>
    <w:p w14:paraId="6F914D5A" w14:textId="44A3C6AD" w:rsidR="246C3A79" w:rsidRDefault="246C3A79" w:rsidP="6F3BD31B">
      <w:pPr>
        <w:spacing w:before="0" w:after="0"/>
      </w:pPr>
      <w:r w:rsidRPr="6F3BD31B">
        <w:rPr>
          <w:rFonts w:ascii="Arial" w:eastAsia="Arial" w:hAnsi="Arial" w:cs="Arial"/>
          <w:i/>
          <w:iCs/>
          <w:sz w:val="22"/>
          <w:szCs w:val="22"/>
        </w:rPr>
        <w:t xml:space="preserve"> </w:t>
      </w:r>
    </w:p>
    <w:p w14:paraId="1B512CC2" w14:textId="05EFF2E9" w:rsidR="246C3A79" w:rsidRDefault="246C3A79" w:rsidP="6F3BD31B">
      <w:pPr>
        <w:spacing w:before="0" w:after="0"/>
      </w:pPr>
      <w:r w:rsidRPr="6F3BD31B">
        <w:rPr>
          <w:rFonts w:ascii="Arial" w:eastAsia="Arial" w:hAnsi="Arial" w:cs="Arial"/>
          <w:i/>
          <w:iCs/>
          <w:sz w:val="22"/>
          <w:szCs w:val="22"/>
        </w:rPr>
        <w:t>Organización de las Naciones Unidas, Asamblea General. (2020).</w:t>
      </w:r>
    </w:p>
    <w:p w14:paraId="38C118B8" w14:textId="459C3063" w:rsidR="246C3A79" w:rsidRDefault="246C3A79" w:rsidP="6F3BD31B">
      <w:pPr>
        <w:spacing w:before="0" w:after="0"/>
      </w:pPr>
      <w:r w:rsidRPr="6F3BD31B">
        <w:rPr>
          <w:rFonts w:ascii="Arial" w:eastAsia="Arial" w:hAnsi="Arial" w:cs="Arial"/>
          <w:sz w:val="22"/>
          <w:szCs w:val="22"/>
        </w:rPr>
        <w:t>Resolución 75/131: Década de las Naciones Unidas para el Envejecimiento Saludable (2021</w:t>
      </w:r>
      <w:r w:rsidRPr="6F3BD31B">
        <w:rPr>
          <w:rFonts w:ascii="Cambria Math" w:eastAsia="Cambria Math" w:hAnsi="Cambria Math" w:cs="Cambria Math"/>
          <w:sz w:val="22"/>
          <w:szCs w:val="22"/>
        </w:rPr>
        <w:t>‑</w:t>
      </w:r>
      <w:r w:rsidRPr="6F3BD31B">
        <w:rPr>
          <w:rFonts w:ascii="Arial" w:eastAsia="Arial" w:hAnsi="Arial" w:cs="Arial"/>
          <w:sz w:val="22"/>
          <w:szCs w:val="22"/>
        </w:rPr>
        <w:t xml:space="preserve">2030). (4 pp.) Nueva York, Estados Unidos: ONU. </w:t>
      </w:r>
    </w:p>
    <w:p w14:paraId="46912A31" w14:textId="6A2BF217" w:rsidR="246C3A79" w:rsidRDefault="246C3A79" w:rsidP="6F3BD31B">
      <w:pPr>
        <w:spacing w:before="0" w:after="0"/>
      </w:pPr>
      <w:r w:rsidRPr="6F3BD31B">
        <w:rPr>
          <w:rFonts w:ascii="Arial" w:eastAsia="Arial" w:hAnsi="Arial" w:cs="Arial"/>
          <w:sz w:val="22"/>
          <w:szCs w:val="22"/>
        </w:rPr>
        <w:t xml:space="preserve">Recuperado de: </w:t>
      </w:r>
    </w:p>
    <w:p w14:paraId="0CA2FEF9" w14:textId="432B34FF" w:rsidR="246C3A79" w:rsidRDefault="246C3A79" w:rsidP="6F3BD31B">
      <w:pPr>
        <w:spacing w:before="0" w:after="0"/>
      </w:pPr>
      <w:hyperlink r:id="rId20">
        <w:r w:rsidRPr="6F3BD31B">
          <w:rPr>
            <w:rStyle w:val="Hipervnculo"/>
            <w:rFonts w:ascii="Arial" w:eastAsia="Arial" w:hAnsi="Arial" w:cs="Arial"/>
            <w:color w:val="0563C1"/>
            <w:sz w:val="22"/>
            <w:szCs w:val="22"/>
          </w:rPr>
          <w:t>https://docs.un.org/en/A/RES/75/131</w:t>
        </w:r>
      </w:hyperlink>
    </w:p>
    <w:p w14:paraId="43D11F0E" w14:textId="2CEE5938" w:rsidR="246C3A79" w:rsidRDefault="246C3A79" w:rsidP="6F3BD31B">
      <w:pPr>
        <w:spacing w:before="0" w:after="0"/>
      </w:pPr>
      <w:r w:rsidRPr="6F3BD31B">
        <w:rPr>
          <w:rFonts w:ascii="Arial" w:eastAsia="Arial" w:hAnsi="Arial" w:cs="Arial"/>
          <w:sz w:val="22"/>
          <w:szCs w:val="22"/>
        </w:rPr>
        <w:t xml:space="preserve"> </w:t>
      </w:r>
    </w:p>
    <w:p w14:paraId="25FDA213" w14:textId="3AB678C5" w:rsidR="246C3A79" w:rsidRDefault="246C3A79" w:rsidP="6F3BD31B">
      <w:pPr>
        <w:spacing w:before="0" w:after="0" w:line="257" w:lineRule="auto"/>
      </w:pPr>
      <w:r w:rsidRPr="6F3BD31B">
        <w:rPr>
          <w:rFonts w:ascii="Arial" w:eastAsia="Arial" w:hAnsi="Arial" w:cs="Arial"/>
          <w:color w:val="000000" w:themeColor="text1"/>
          <w:sz w:val="22"/>
          <w:szCs w:val="22"/>
        </w:rPr>
        <w:t xml:space="preserve"> </w:t>
      </w:r>
    </w:p>
    <w:p w14:paraId="4F4F1571" w14:textId="216FEAA2" w:rsidR="246C3A79" w:rsidRDefault="246C3A79" w:rsidP="6F3BD31B">
      <w:pPr>
        <w:spacing w:before="0" w:after="0" w:line="257" w:lineRule="auto"/>
      </w:pPr>
      <w:r w:rsidRPr="6F3BD31B">
        <w:rPr>
          <w:rFonts w:ascii="Arial" w:eastAsia="Arial" w:hAnsi="Arial" w:cs="Arial"/>
          <w:i/>
          <w:iCs/>
          <w:color w:val="000000" w:themeColor="text1"/>
          <w:sz w:val="22"/>
          <w:szCs w:val="22"/>
        </w:rPr>
        <w:t>Organización Mundial de la Salud. (2022).</w:t>
      </w:r>
      <w:r w:rsidRPr="6F3BD31B">
        <w:rPr>
          <w:rFonts w:ascii="Arial" w:eastAsia="Arial" w:hAnsi="Arial" w:cs="Arial"/>
          <w:color w:val="000000" w:themeColor="text1"/>
          <w:sz w:val="22"/>
          <w:szCs w:val="22"/>
        </w:rPr>
        <w:t xml:space="preserve"> </w:t>
      </w:r>
    </w:p>
    <w:p w14:paraId="31003027" w14:textId="0307847D" w:rsidR="246C3A79" w:rsidRDefault="246C3A79" w:rsidP="6F3BD31B">
      <w:pPr>
        <w:spacing w:before="0" w:after="0" w:line="257" w:lineRule="auto"/>
      </w:pPr>
      <w:r w:rsidRPr="6F3BD31B">
        <w:rPr>
          <w:rFonts w:ascii="Arial" w:eastAsia="Arial" w:hAnsi="Arial" w:cs="Arial"/>
          <w:color w:val="000000" w:themeColor="text1"/>
          <w:sz w:val="22"/>
          <w:szCs w:val="22"/>
        </w:rPr>
        <w:t>Década del envejecimiento saludable. Informe de Referencia-Resumen (30 pp.). Geneva Suiza</w:t>
      </w:r>
    </w:p>
    <w:p w14:paraId="7FA0F6FA" w14:textId="7C4E2752" w:rsidR="246C3A79" w:rsidRDefault="246C3A79" w:rsidP="6F3BD31B">
      <w:pPr>
        <w:spacing w:before="0" w:after="0" w:line="257" w:lineRule="auto"/>
        <w:jc w:val="left"/>
      </w:pPr>
      <w:r w:rsidRPr="6F3BD31B">
        <w:rPr>
          <w:rFonts w:ascii="Arial" w:eastAsia="Arial" w:hAnsi="Arial" w:cs="Arial"/>
          <w:color w:val="000000" w:themeColor="text1"/>
          <w:sz w:val="22"/>
          <w:szCs w:val="22"/>
        </w:rPr>
        <w:t>Recuperado de:</w:t>
      </w:r>
    </w:p>
    <w:p w14:paraId="1821CE6E" w14:textId="585460FE" w:rsidR="246C3A79" w:rsidRDefault="246C3A79" w:rsidP="6F3BD31B">
      <w:pPr>
        <w:spacing w:before="0" w:after="0" w:line="257" w:lineRule="auto"/>
        <w:jc w:val="left"/>
      </w:pPr>
      <w:hyperlink r:id="rId21">
        <w:r w:rsidRPr="6F3BD31B">
          <w:rPr>
            <w:rStyle w:val="Hipervnculo"/>
            <w:rFonts w:ascii="Arial" w:eastAsia="Arial" w:hAnsi="Arial" w:cs="Arial"/>
            <w:color w:val="0563C1"/>
            <w:sz w:val="22"/>
            <w:szCs w:val="22"/>
          </w:rPr>
          <w:t>https://iris.who.int/bitstream/handle/10665/350938/9789240039759-spa.pdf?sequence=1&amp;isAllowed=y</w:t>
        </w:r>
      </w:hyperlink>
    </w:p>
    <w:p w14:paraId="568ABF86" w14:textId="35AF8EF5" w:rsidR="246C3A79" w:rsidRDefault="246C3A79" w:rsidP="6F3BD31B">
      <w:pPr>
        <w:spacing w:before="0" w:after="0" w:line="257" w:lineRule="auto"/>
        <w:jc w:val="left"/>
      </w:pPr>
      <w:r w:rsidRPr="6F3BD31B">
        <w:rPr>
          <w:rFonts w:ascii="Arial" w:eastAsia="Arial" w:hAnsi="Arial" w:cs="Arial"/>
          <w:color w:val="000000" w:themeColor="text1"/>
          <w:sz w:val="22"/>
          <w:szCs w:val="22"/>
        </w:rPr>
        <w:t xml:space="preserve"> </w:t>
      </w:r>
    </w:p>
    <w:p w14:paraId="4AFC2ECD" w14:textId="1DB67A91" w:rsidR="246C3A79" w:rsidRDefault="246C3A79" w:rsidP="6F3BD31B">
      <w:pPr>
        <w:spacing w:before="0" w:after="0"/>
      </w:pPr>
      <w:r w:rsidRPr="6F3BD31B">
        <w:rPr>
          <w:rFonts w:ascii="Arial" w:eastAsia="Arial" w:hAnsi="Arial" w:cs="Arial"/>
        </w:rPr>
        <w:t xml:space="preserve"> </w:t>
      </w:r>
    </w:p>
    <w:p w14:paraId="5F1C3189" w14:textId="410C73B4" w:rsidR="246C3A79" w:rsidRDefault="246C3A79" w:rsidP="6F3BD31B">
      <w:pPr>
        <w:spacing w:before="0" w:after="0"/>
      </w:pPr>
      <w:r w:rsidRPr="6F3BD31B">
        <w:rPr>
          <w:rFonts w:ascii="Arial" w:eastAsia="Arial" w:hAnsi="Arial" w:cs="Arial"/>
          <w:i/>
          <w:iCs/>
          <w:sz w:val="22"/>
          <w:szCs w:val="22"/>
        </w:rPr>
        <w:t>Pontificia Universidad Javeriana (2020)</w:t>
      </w:r>
    </w:p>
    <w:p w14:paraId="1029C246" w14:textId="310583B6" w:rsidR="246C3A79" w:rsidRDefault="246C3A79" w:rsidP="6F3BD31B">
      <w:pPr>
        <w:spacing w:before="0" w:after="0" w:line="257" w:lineRule="auto"/>
      </w:pPr>
      <w:r w:rsidRPr="6F3BD31B">
        <w:rPr>
          <w:rFonts w:ascii="Arial" w:eastAsia="Arial" w:hAnsi="Arial" w:cs="Arial"/>
          <w:sz w:val="22"/>
          <w:szCs w:val="22"/>
        </w:rPr>
        <w:t xml:space="preserve">El sentimiento de soledad en personas mayores: conocimiento y tamización oportuna. </w:t>
      </w:r>
      <w:r w:rsidRPr="6F3BD31B">
        <w:rPr>
          <w:rFonts w:ascii="Arial" w:eastAsia="Arial" w:hAnsi="Arial" w:cs="Arial"/>
          <w:color w:val="000000" w:themeColor="text1"/>
          <w:sz w:val="22"/>
          <w:szCs w:val="22"/>
        </w:rPr>
        <w:t>Revista Universitas Médica. Vol 61. Núm 2. Bogota D.C. Colombia</w:t>
      </w:r>
    </w:p>
    <w:p w14:paraId="5E1494D3" w14:textId="70E90074" w:rsidR="246C3A79" w:rsidRDefault="246C3A79" w:rsidP="6F3BD31B">
      <w:pPr>
        <w:spacing w:before="0" w:after="0" w:line="257" w:lineRule="auto"/>
      </w:pPr>
      <w:r w:rsidRPr="6F3BD31B">
        <w:rPr>
          <w:rFonts w:ascii="Arial" w:eastAsia="Arial" w:hAnsi="Arial" w:cs="Arial"/>
          <w:color w:val="000000" w:themeColor="text1"/>
          <w:sz w:val="22"/>
          <w:szCs w:val="22"/>
        </w:rPr>
        <w:t>Recuperado De</w:t>
      </w:r>
    </w:p>
    <w:p w14:paraId="6E7AFBCF" w14:textId="26CCBF93" w:rsidR="246C3A79" w:rsidRDefault="246C3A79" w:rsidP="6F3BD31B">
      <w:pPr>
        <w:spacing w:before="0" w:after="0"/>
      </w:pPr>
      <w:hyperlink r:id="rId22">
        <w:r w:rsidRPr="6F3BD31B">
          <w:rPr>
            <w:rStyle w:val="Hipervnculo"/>
            <w:rFonts w:ascii="Arial" w:eastAsia="Arial" w:hAnsi="Arial" w:cs="Arial"/>
            <w:color w:val="0563C1"/>
            <w:sz w:val="22"/>
            <w:szCs w:val="22"/>
          </w:rPr>
          <w:t>El sentimiento de soledad en personas mayores: conocimiento y tamización oportuna</w:t>
        </w:r>
      </w:hyperlink>
    </w:p>
    <w:p w14:paraId="2A89E7CF" w14:textId="11A31AE6" w:rsidR="246C3A79" w:rsidRDefault="246C3A79" w:rsidP="6F3BD31B">
      <w:pPr>
        <w:spacing w:before="0" w:after="0"/>
      </w:pPr>
      <w:r w:rsidRPr="6F3BD31B">
        <w:rPr>
          <w:rFonts w:ascii="Arial" w:eastAsia="Arial" w:hAnsi="Arial" w:cs="Arial"/>
          <w:i/>
          <w:iCs/>
          <w:sz w:val="22"/>
          <w:szCs w:val="22"/>
        </w:rPr>
        <w:t xml:space="preserve"> </w:t>
      </w:r>
    </w:p>
    <w:p w14:paraId="4FEE0B26" w14:textId="6A075E8E" w:rsidR="246C3A79" w:rsidRDefault="246C3A79" w:rsidP="6F3BD31B">
      <w:pPr>
        <w:spacing w:before="0" w:after="0"/>
      </w:pPr>
      <w:r w:rsidRPr="6F3BD31B">
        <w:rPr>
          <w:rFonts w:ascii="Arial" w:eastAsia="Arial" w:hAnsi="Arial" w:cs="Arial"/>
          <w:i/>
          <w:iCs/>
          <w:sz w:val="22"/>
          <w:szCs w:val="22"/>
        </w:rPr>
        <w:t xml:space="preserve">Secretaría Distrital de Integración Social. (2010). </w:t>
      </w:r>
    </w:p>
    <w:p w14:paraId="366B28C6" w14:textId="2E31FE86" w:rsidR="246C3A79" w:rsidRDefault="246C3A79" w:rsidP="6F3BD31B">
      <w:pPr>
        <w:spacing w:before="0" w:after="0"/>
      </w:pPr>
      <w:r w:rsidRPr="6F3BD31B">
        <w:rPr>
          <w:rFonts w:ascii="Arial" w:eastAsia="Arial" w:hAnsi="Arial" w:cs="Arial"/>
          <w:sz w:val="22"/>
          <w:szCs w:val="22"/>
        </w:rPr>
        <w:t xml:space="preserve">Política Pública Social Para El Envejecimiento y La Vejez en el Distrito Capital 2010 – 2025. (158 pp.) Bogotá, D.C., Colombia: Alcaldía Mayor de Bogotá. </w:t>
      </w:r>
    </w:p>
    <w:p w14:paraId="6934CDC3" w14:textId="3B712114" w:rsidR="246C3A79" w:rsidRDefault="246C3A79" w:rsidP="6F3BD31B">
      <w:pPr>
        <w:spacing w:before="0" w:after="0"/>
      </w:pPr>
      <w:r w:rsidRPr="6F3BD31B">
        <w:rPr>
          <w:rFonts w:ascii="Arial" w:eastAsia="Arial" w:hAnsi="Arial" w:cs="Arial"/>
          <w:sz w:val="22"/>
          <w:szCs w:val="22"/>
        </w:rPr>
        <w:t>Recuperado De</w:t>
      </w:r>
    </w:p>
    <w:p w14:paraId="40C732AA" w14:textId="0FB406EC" w:rsidR="246C3A79" w:rsidRDefault="246C3A79" w:rsidP="6F3BD31B">
      <w:pPr>
        <w:spacing w:before="0" w:after="0"/>
      </w:pPr>
      <w:hyperlink r:id="rId23">
        <w:r w:rsidRPr="6F3BD31B">
          <w:rPr>
            <w:rStyle w:val="Hipervnculo"/>
            <w:rFonts w:ascii="Arial" w:eastAsia="Arial" w:hAnsi="Arial" w:cs="Arial"/>
            <w:color w:val="0563C1"/>
            <w:sz w:val="22"/>
            <w:szCs w:val="22"/>
          </w:rPr>
          <w:t>https://www.integracionsocial.gov.co/images/_docs/2022/politicas_publicas/28062023-politica_publica_para_el_envejecimiento_y_la_vejez.pdf</w:t>
        </w:r>
      </w:hyperlink>
    </w:p>
    <w:p w14:paraId="163FB21D" w14:textId="27F12E4D" w:rsidR="246C3A79" w:rsidRDefault="246C3A79" w:rsidP="6F3BD31B">
      <w:pPr>
        <w:spacing w:before="0" w:after="0"/>
      </w:pPr>
      <w:r w:rsidRPr="6F3BD31B">
        <w:rPr>
          <w:rFonts w:ascii="Arial" w:eastAsia="Arial" w:hAnsi="Arial" w:cs="Arial"/>
          <w:sz w:val="22"/>
          <w:szCs w:val="22"/>
        </w:rPr>
        <w:t xml:space="preserve"> </w:t>
      </w:r>
    </w:p>
    <w:p w14:paraId="2B84C9BA" w14:textId="68C2B136" w:rsidR="246C3A79" w:rsidRDefault="246C3A79" w:rsidP="6F3BD31B">
      <w:pPr>
        <w:spacing w:before="0" w:after="0"/>
      </w:pPr>
      <w:r w:rsidRPr="6F3BD31B">
        <w:rPr>
          <w:rFonts w:ascii="Arial" w:eastAsia="Arial" w:hAnsi="Arial" w:cs="Arial"/>
          <w:sz w:val="22"/>
          <w:szCs w:val="22"/>
        </w:rPr>
        <w:t xml:space="preserve"> </w:t>
      </w:r>
    </w:p>
    <w:p w14:paraId="7226CC30" w14:textId="70B48765" w:rsidR="246C3A79" w:rsidRDefault="246C3A79" w:rsidP="6F3BD31B">
      <w:pPr>
        <w:spacing w:before="0" w:after="0"/>
      </w:pPr>
      <w:r w:rsidRPr="6F3BD31B">
        <w:rPr>
          <w:rFonts w:ascii="Arial" w:eastAsia="Arial" w:hAnsi="Arial" w:cs="Arial"/>
          <w:i/>
          <w:iCs/>
          <w:sz w:val="22"/>
          <w:szCs w:val="22"/>
        </w:rPr>
        <w:t>Secretaría Distrital de Integración Social. (2022).</w:t>
      </w:r>
    </w:p>
    <w:p w14:paraId="78C84641" w14:textId="51DB6A55" w:rsidR="246C3A79" w:rsidRDefault="246C3A79" w:rsidP="6F3BD31B">
      <w:pPr>
        <w:spacing w:before="0" w:after="0"/>
      </w:pPr>
      <w:r w:rsidRPr="6F3BD31B">
        <w:rPr>
          <w:rFonts w:ascii="Arial" w:eastAsia="Arial" w:hAnsi="Arial" w:cs="Arial"/>
          <w:sz w:val="22"/>
          <w:szCs w:val="22"/>
        </w:rPr>
        <w:t>CONPES D.C. 19 Actualización del Plan de Acción de la “Política Pública Social Para El Envejecimiento Y La Vejez 2010-2025 (87 pp.) Bogotá, D.C., Colombia. Alcaldía Mayor de Bogotá</w:t>
      </w:r>
    </w:p>
    <w:p w14:paraId="3C5FF86D" w14:textId="4E111EBB" w:rsidR="246C3A79" w:rsidRDefault="246C3A79" w:rsidP="6F3BD31B">
      <w:pPr>
        <w:spacing w:before="0" w:after="0"/>
      </w:pPr>
      <w:r w:rsidRPr="6F3BD31B">
        <w:rPr>
          <w:rFonts w:ascii="Arial" w:eastAsia="Arial" w:hAnsi="Arial" w:cs="Arial"/>
          <w:sz w:val="22"/>
          <w:szCs w:val="22"/>
        </w:rPr>
        <w:t>Recuperado De:</w:t>
      </w:r>
    </w:p>
    <w:p w14:paraId="33C10B54" w14:textId="584EFD00" w:rsidR="246C3A79" w:rsidRDefault="246C3A79" w:rsidP="6F3BD31B">
      <w:pPr>
        <w:spacing w:before="0" w:after="0"/>
      </w:pPr>
      <w:hyperlink r:id="rId24">
        <w:r w:rsidRPr="6F3BD31B">
          <w:rPr>
            <w:rStyle w:val="Hipervnculo"/>
            <w:rFonts w:ascii="Arial" w:eastAsia="Arial" w:hAnsi="Arial" w:cs="Arial"/>
            <w:color w:val="0563C1"/>
            <w:sz w:val="22"/>
            <w:szCs w:val="22"/>
          </w:rPr>
          <w:t>https://www.integracionsocial.gov.co/images/_docs/2023/documentos/politicas-publicas/28092023-conpes_dc_19_pp_vejez.pdf</w:t>
        </w:r>
      </w:hyperlink>
    </w:p>
    <w:p w14:paraId="12D58069" w14:textId="2D940D53" w:rsidR="246C3A79" w:rsidRDefault="246C3A79" w:rsidP="6F3BD31B">
      <w:pPr>
        <w:spacing w:before="0" w:after="0"/>
      </w:pPr>
      <w:r w:rsidRPr="6F3BD31B">
        <w:rPr>
          <w:rFonts w:ascii="Arial" w:eastAsia="Arial" w:hAnsi="Arial" w:cs="Arial"/>
          <w:i/>
          <w:iCs/>
          <w:sz w:val="22"/>
          <w:szCs w:val="22"/>
        </w:rPr>
        <w:t xml:space="preserve"> </w:t>
      </w:r>
    </w:p>
    <w:p w14:paraId="53837291" w14:textId="4677AB52" w:rsidR="00567341" w:rsidRDefault="246C3A79" w:rsidP="00567341">
      <w:pPr>
        <w:spacing w:before="0" w:after="0"/>
      </w:pPr>
      <w:r w:rsidRPr="6F3BD31B">
        <w:rPr>
          <w:rFonts w:ascii="Arial" w:eastAsia="Arial" w:hAnsi="Arial" w:cs="Arial"/>
          <w:i/>
          <w:iCs/>
          <w:sz w:val="22"/>
          <w:szCs w:val="22"/>
        </w:rPr>
        <w:t>Secretaría Distrital de Integración Social. (2023).</w:t>
      </w:r>
      <w:r w:rsidR="00567341" w:rsidRPr="6F3BD31B">
        <w:rPr>
          <w:rFonts w:ascii="Arial" w:eastAsia="Arial" w:hAnsi="Arial" w:cs="Arial"/>
          <w:i/>
          <w:sz w:val="22"/>
          <w:szCs w:val="22"/>
        </w:rPr>
        <w:t xml:space="preserve"> </w:t>
      </w:r>
    </w:p>
    <w:p w14:paraId="2A28CFCB" w14:textId="74007F08" w:rsidR="00567341" w:rsidRDefault="00567341" w:rsidP="00567341">
      <w:pPr>
        <w:spacing w:before="0" w:after="0"/>
      </w:pPr>
      <w:r w:rsidRPr="6F3BD31B">
        <w:rPr>
          <w:rFonts w:ascii="Arial" w:eastAsia="Arial" w:hAnsi="Arial" w:cs="Arial"/>
          <w:sz w:val="22"/>
          <w:szCs w:val="22"/>
        </w:rPr>
        <w:lastRenderedPageBreak/>
        <w:t>Actualización de la línea base de la Política Pública Social para el Envejecimiento y la Vejez (</w:t>
      </w:r>
      <w:r w:rsidR="246C3A79" w:rsidRPr="6F3BD31B">
        <w:rPr>
          <w:rFonts w:ascii="Arial" w:eastAsia="Arial" w:hAnsi="Arial" w:cs="Arial"/>
          <w:sz w:val="22"/>
          <w:szCs w:val="22"/>
        </w:rPr>
        <w:t xml:space="preserve">643 pp.). Bogotá, D.C., Colombia: Alcaldía Mayor de Bogotá. </w:t>
      </w:r>
    </w:p>
    <w:p w14:paraId="31FD1779" w14:textId="618FAA5E" w:rsidR="246C3A79" w:rsidRDefault="246C3A79" w:rsidP="6F3BD31B">
      <w:pPr>
        <w:spacing w:before="0" w:after="0"/>
      </w:pPr>
      <w:r w:rsidRPr="6F3BD31B">
        <w:rPr>
          <w:rFonts w:ascii="Arial" w:eastAsia="Arial" w:hAnsi="Arial" w:cs="Arial"/>
          <w:sz w:val="22"/>
          <w:szCs w:val="22"/>
        </w:rPr>
        <w:t>Recuperado de:</w:t>
      </w:r>
    </w:p>
    <w:p w14:paraId="0A950F56" w14:textId="4CB2A6E9" w:rsidR="246C3A79" w:rsidRDefault="246C3A79" w:rsidP="6F3BD31B">
      <w:pPr>
        <w:spacing w:before="0" w:after="0"/>
      </w:pPr>
      <w:hyperlink r:id="rId25">
        <w:r w:rsidRPr="6F3BD31B">
          <w:rPr>
            <w:rStyle w:val="Hipervnculo"/>
            <w:rFonts w:ascii="Arial" w:eastAsia="Arial" w:hAnsi="Arial" w:cs="Arial"/>
            <w:color w:val="0563C1"/>
            <w:sz w:val="22"/>
            <w:szCs w:val="22"/>
          </w:rPr>
          <w:t>https://www.integracionsocial.gov.co/images/_docs/2023/transparencia/publicacion/30122023-Actualizacion-LineaBase-PPSEV-SDIS.pdf</w:t>
        </w:r>
      </w:hyperlink>
    </w:p>
    <w:p w14:paraId="51A0574E" w14:textId="4D20F6EE" w:rsidR="246C3A79" w:rsidRDefault="246C3A79" w:rsidP="6F3BD31B">
      <w:pPr>
        <w:spacing w:before="0" w:after="0"/>
      </w:pPr>
      <w:r w:rsidRPr="6F3BD31B">
        <w:rPr>
          <w:rFonts w:ascii="Arial" w:eastAsia="Arial" w:hAnsi="Arial" w:cs="Arial"/>
          <w:sz w:val="22"/>
          <w:szCs w:val="22"/>
        </w:rPr>
        <w:t xml:space="preserve"> </w:t>
      </w:r>
    </w:p>
    <w:p w14:paraId="197E877C" w14:textId="03FBE2DC" w:rsidR="246C3A79" w:rsidRDefault="246C3A79" w:rsidP="6F3BD31B">
      <w:pPr>
        <w:spacing w:before="0" w:after="0"/>
      </w:pPr>
      <w:r w:rsidRPr="6F3BD31B">
        <w:rPr>
          <w:rFonts w:ascii="Arial" w:eastAsia="Arial" w:hAnsi="Arial" w:cs="Arial"/>
          <w:i/>
          <w:iCs/>
          <w:sz w:val="22"/>
          <w:szCs w:val="22"/>
        </w:rPr>
        <w:t xml:space="preserve"> </w:t>
      </w:r>
    </w:p>
    <w:p w14:paraId="4355F03B" w14:textId="70F093E9" w:rsidR="246C3A79" w:rsidRDefault="246C3A79" w:rsidP="6F3BD31B">
      <w:pPr>
        <w:spacing w:before="0" w:after="0"/>
      </w:pPr>
      <w:r w:rsidRPr="6F3BD31B">
        <w:rPr>
          <w:rFonts w:ascii="Arial" w:eastAsia="Arial" w:hAnsi="Arial" w:cs="Arial"/>
          <w:i/>
          <w:iCs/>
          <w:sz w:val="22"/>
          <w:szCs w:val="22"/>
        </w:rPr>
        <w:t>Secretaría Distrital de Integración Social. (2023).</w:t>
      </w:r>
    </w:p>
    <w:p w14:paraId="1B3E64FD" w14:textId="759A31DA" w:rsidR="246C3A79" w:rsidRDefault="246C3A79" w:rsidP="6F3BD31B">
      <w:pPr>
        <w:spacing w:before="0" w:after="0"/>
      </w:pPr>
      <w:r w:rsidRPr="6F3BD31B">
        <w:rPr>
          <w:rFonts w:ascii="Arial" w:eastAsia="Arial" w:hAnsi="Arial" w:cs="Arial"/>
          <w:sz w:val="22"/>
          <w:szCs w:val="22"/>
        </w:rPr>
        <w:t>Tomo I Análisis documental del estudio “Implicaciones de la emergencia sanitaria, económica y social generada por la COVID-19 en las personas mayores en Bogotá” (164 pp.). Bogotá, D.C., Colombia. SDIS</w:t>
      </w:r>
    </w:p>
    <w:p w14:paraId="4738EBA8" w14:textId="2587E227" w:rsidR="246C3A79" w:rsidRDefault="246C3A79" w:rsidP="6F3BD31B">
      <w:pPr>
        <w:spacing w:before="0" w:after="0"/>
      </w:pPr>
      <w:r w:rsidRPr="6F3BD31B">
        <w:rPr>
          <w:rFonts w:ascii="Arial" w:eastAsia="Arial" w:hAnsi="Arial" w:cs="Arial"/>
          <w:sz w:val="22"/>
          <w:szCs w:val="22"/>
        </w:rPr>
        <w:t>Recuperado De:</w:t>
      </w:r>
    </w:p>
    <w:p w14:paraId="035641FF" w14:textId="2F05222F" w:rsidR="246C3A79" w:rsidRDefault="246C3A79" w:rsidP="6F3BD31B">
      <w:pPr>
        <w:spacing w:before="0" w:after="0"/>
      </w:pPr>
      <w:hyperlink r:id="rId26">
        <w:r w:rsidRPr="6F3BD31B">
          <w:rPr>
            <w:rStyle w:val="Hipervnculo"/>
            <w:rFonts w:ascii="Arial" w:eastAsia="Arial" w:hAnsi="Arial" w:cs="Arial"/>
            <w:color w:val="0563C1"/>
            <w:sz w:val="22"/>
            <w:szCs w:val="22"/>
          </w:rPr>
          <w:t>https://www.integracionsocial.gov.co/images/_docs/2023/transparencia/publicacion/30102023-Tomo1_Estudio-Implicaciones_emergencia_sanitaria_economica_social_COVID19_personas_mayores_SDIS.pdf</w:t>
        </w:r>
      </w:hyperlink>
    </w:p>
    <w:p w14:paraId="3A4EABAA" w14:textId="2F314AC3" w:rsidR="246C3A79" w:rsidRDefault="246C3A79" w:rsidP="6F3BD31B">
      <w:pPr>
        <w:spacing w:before="0" w:after="0"/>
      </w:pPr>
      <w:r w:rsidRPr="6F3BD31B">
        <w:rPr>
          <w:rFonts w:ascii="Arial" w:eastAsia="Arial" w:hAnsi="Arial" w:cs="Arial"/>
          <w:sz w:val="22"/>
          <w:szCs w:val="22"/>
        </w:rPr>
        <w:t xml:space="preserve"> </w:t>
      </w:r>
    </w:p>
    <w:p w14:paraId="1CFB85F6" w14:textId="4A1C3E09" w:rsidR="246C3A79" w:rsidRDefault="246C3A79" w:rsidP="6F3BD31B">
      <w:pPr>
        <w:spacing w:before="0" w:after="0"/>
      </w:pPr>
      <w:r w:rsidRPr="6F3BD31B">
        <w:rPr>
          <w:rFonts w:ascii="Arial" w:eastAsia="Arial" w:hAnsi="Arial" w:cs="Arial"/>
          <w:i/>
          <w:iCs/>
          <w:sz w:val="22"/>
          <w:szCs w:val="22"/>
        </w:rPr>
        <w:t>Secretaría Distrital de Integración Social. (2023).</w:t>
      </w:r>
    </w:p>
    <w:p w14:paraId="5CC83905" w14:textId="0FC54FD4" w:rsidR="246C3A79" w:rsidRDefault="246C3A79" w:rsidP="6F3BD31B">
      <w:pPr>
        <w:spacing w:before="0" w:after="0"/>
      </w:pPr>
      <w:r w:rsidRPr="6F3BD31B">
        <w:rPr>
          <w:rFonts w:ascii="Arial" w:eastAsia="Arial" w:hAnsi="Arial" w:cs="Arial"/>
          <w:sz w:val="22"/>
          <w:szCs w:val="22"/>
        </w:rPr>
        <w:t>Tomo II Análisis Cualitativo del estudio “Implicaciones de la emergencia sanitaria, económica y social generada por la COVID-19 en las personas mayores en Bogotá” (252 pp.). Bogotá, D.C., Colombia. SDIS</w:t>
      </w:r>
    </w:p>
    <w:p w14:paraId="4BFA50E0" w14:textId="63367E2D" w:rsidR="246C3A79" w:rsidRDefault="246C3A79" w:rsidP="6F3BD31B">
      <w:pPr>
        <w:spacing w:before="0" w:after="0"/>
      </w:pPr>
      <w:r w:rsidRPr="6F3BD31B">
        <w:rPr>
          <w:rFonts w:ascii="Arial" w:eastAsia="Arial" w:hAnsi="Arial" w:cs="Arial"/>
          <w:sz w:val="22"/>
          <w:szCs w:val="22"/>
        </w:rPr>
        <w:t>Recuperado De:</w:t>
      </w:r>
    </w:p>
    <w:p w14:paraId="2398DBE0" w14:textId="6DB6DA3F" w:rsidR="246C3A79" w:rsidRDefault="246C3A79" w:rsidP="6F3BD31B">
      <w:pPr>
        <w:spacing w:before="0" w:after="0"/>
      </w:pPr>
      <w:hyperlink r:id="rId27">
        <w:r w:rsidRPr="6F3BD31B">
          <w:rPr>
            <w:rStyle w:val="Hipervnculo"/>
            <w:rFonts w:ascii="Arial" w:eastAsia="Arial" w:hAnsi="Arial" w:cs="Arial"/>
            <w:color w:val="0563C1"/>
            <w:sz w:val="22"/>
            <w:szCs w:val="22"/>
          </w:rPr>
          <w:t>https://www.integracionsocial.gov.co/images/_docs/2023/transparencia/publicacion/30102023-Tomo2_Estudio-Implicaciones_emergencia_sanitaria_economica_social_COVID19_personas_mayores_SDIS.pdf</w:t>
        </w:r>
      </w:hyperlink>
    </w:p>
    <w:p w14:paraId="3420CA50" w14:textId="23281387" w:rsidR="246C3A79" w:rsidRDefault="246C3A79" w:rsidP="6F3BD31B">
      <w:pPr>
        <w:spacing w:before="0" w:after="0"/>
      </w:pPr>
      <w:r w:rsidRPr="6F3BD31B">
        <w:rPr>
          <w:rFonts w:ascii="Arial" w:eastAsia="Arial" w:hAnsi="Arial" w:cs="Arial"/>
          <w:sz w:val="22"/>
          <w:szCs w:val="22"/>
        </w:rPr>
        <w:t xml:space="preserve"> </w:t>
      </w:r>
    </w:p>
    <w:p w14:paraId="43D8EFD2" w14:textId="4D32ACF1" w:rsidR="246C3A79" w:rsidRDefault="246C3A79" w:rsidP="6F3BD31B">
      <w:pPr>
        <w:spacing w:before="0" w:after="0"/>
      </w:pPr>
      <w:r w:rsidRPr="6F3BD31B">
        <w:rPr>
          <w:rFonts w:ascii="Arial" w:eastAsia="Arial" w:hAnsi="Arial" w:cs="Arial"/>
          <w:i/>
          <w:iCs/>
          <w:sz w:val="22"/>
          <w:szCs w:val="22"/>
        </w:rPr>
        <w:t xml:space="preserve"> </w:t>
      </w:r>
    </w:p>
    <w:p w14:paraId="00096E11" w14:textId="18FA1C04" w:rsidR="246C3A79" w:rsidRDefault="246C3A79" w:rsidP="6F3BD31B">
      <w:pPr>
        <w:spacing w:before="0" w:after="0"/>
      </w:pPr>
      <w:r w:rsidRPr="6F3BD31B">
        <w:rPr>
          <w:rFonts w:ascii="Arial" w:eastAsia="Arial" w:hAnsi="Arial" w:cs="Arial"/>
          <w:i/>
          <w:iCs/>
          <w:sz w:val="22"/>
          <w:szCs w:val="22"/>
        </w:rPr>
        <w:t>Secretaría Distrital de Integración Social. (2024).</w:t>
      </w:r>
    </w:p>
    <w:p w14:paraId="6B58F622" w14:textId="7EBE5631" w:rsidR="246C3A79" w:rsidRDefault="246C3A79" w:rsidP="6F3BD31B">
      <w:pPr>
        <w:spacing w:before="0" w:after="0"/>
      </w:pPr>
      <w:r w:rsidRPr="6F3BD31B">
        <w:rPr>
          <w:rFonts w:ascii="Arial" w:eastAsia="Arial" w:hAnsi="Arial" w:cs="Arial"/>
          <w:sz w:val="22"/>
          <w:szCs w:val="22"/>
        </w:rPr>
        <w:t>Memorias evento académico. “Las personas mayores se toman la palabra-Retos y apuestas en la Vejez y el Envejecimiento en de Bogotá” (66 pp.). Bogotá, D.C., Colombia. SDIS</w:t>
      </w:r>
    </w:p>
    <w:p w14:paraId="35F7E8FC" w14:textId="27CC9421" w:rsidR="246C3A79" w:rsidRDefault="246C3A79" w:rsidP="6F3BD31B">
      <w:pPr>
        <w:spacing w:before="0" w:after="0"/>
      </w:pPr>
      <w:r w:rsidRPr="6F3BD31B">
        <w:rPr>
          <w:rFonts w:ascii="Arial" w:eastAsia="Arial" w:hAnsi="Arial" w:cs="Arial"/>
          <w:sz w:val="22"/>
          <w:szCs w:val="22"/>
        </w:rPr>
        <w:t>Recuperado De:</w:t>
      </w:r>
    </w:p>
    <w:p w14:paraId="1DF75D91" w14:textId="668E9F31" w:rsidR="246C3A79" w:rsidRDefault="246C3A79" w:rsidP="6F3BD31B">
      <w:pPr>
        <w:spacing w:before="0" w:after="0"/>
      </w:pPr>
      <w:hyperlink r:id="rId28">
        <w:r w:rsidRPr="6F3BD31B">
          <w:rPr>
            <w:rStyle w:val="Hipervnculo"/>
            <w:rFonts w:ascii="Arial" w:eastAsia="Arial" w:hAnsi="Arial" w:cs="Arial"/>
            <w:color w:val="0563C1"/>
            <w:sz w:val="22"/>
            <w:szCs w:val="22"/>
          </w:rPr>
          <w:t>https://www.integracionsocial.gov.co/images/_docs/2024/Documentos/17122024-Memorias-Evento-Academico-Las-personas-mayores-toman-palabra.pdf</w:t>
        </w:r>
      </w:hyperlink>
    </w:p>
    <w:p w14:paraId="11905F5F" w14:textId="50AAB553" w:rsidR="246C3A79" w:rsidRDefault="246C3A79" w:rsidP="6F3BD31B">
      <w:pPr>
        <w:spacing w:before="0" w:after="0"/>
      </w:pPr>
      <w:r w:rsidRPr="6F3BD31B">
        <w:rPr>
          <w:rFonts w:ascii="Arial" w:eastAsia="Arial" w:hAnsi="Arial" w:cs="Arial"/>
          <w:sz w:val="22"/>
          <w:szCs w:val="22"/>
        </w:rPr>
        <w:t xml:space="preserve"> </w:t>
      </w:r>
    </w:p>
    <w:p w14:paraId="4B958C04" w14:textId="0F0D4CC0" w:rsidR="246C3A79" w:rsidRDefault="246C3A79" w:rsidP="6F3BD31B">
      <w:pPr>
        <w:spacing w:before="0" w:after="0"/>
      </w:pPr>
      <w:r w:rsidRPr="6F3BD31B">
        <w:rPr>
          <w:rFonts w:ascii="Arial" w:eastAsia="Arial" w:hAnsi="Arial" w:cs="Arial"/>
          <w:i/>
          <w:iCs/>
          <w:sz w:val="22"/>
          <w:szCs w:val="22"/>
        </w:rPr>
        <w:t>Secretaría Distrital de Integración Social, Secretaría Distrital de Salud y Otros. (2024).</w:t>
      </w:r>
    </w:p>
    <w:p w14:paraId="1D8E0E18" w14:textId="6B659AAD" w:rsidR="246C3A79" w:rsidRDefault="246C3A79" w:rsidP="6F3BD31B">
      <w:pPr>
        <w:spacing w:before="0" w:after="0"/>
      </w:pPr>
      <w:r w:rsidRPr="6F3BD31B">
        <w:rPr>
          <w:rFonts w:ascii="Arial" w:eastAsia="Arial" w:hAnsi="Arial" w:cs="Arial"/>
          <w:sz w:val="22"/>
          <w:szCs w:val="22"/>
        </w:rPr>
        <w:t>Documento “Tipología de abandono de personas mayores en Bogotá y recomendaciones para su abordaje”. (71 pp.)  Bogotá, D.C., Colombia. Alcaldía Mayor de Bogotá.</w:t>
      </w:r>
    </w:p>
    <w:p w14:paraId="3C5CB99D" w14:textId="61D06683" w:rsidR="246C3A79" w:rsidRDefault="246C3A79" w:rsidP="6F3BD31B">
      <w:pPr>
        <w:spacing w:before="0" w:after="0"/>
      </w:pPr>
      <w:r w:rsidRPr="6F3BD31B">
        <w:rPr>
          <w:rFonts w:ascii="Arial" w:eastAsia="Arial" w:hAnsi="Arial" w:cs="Arial"/>
          <w:sz w:val="22"/>
          <w:szCs w:val="22"/>
        </w:rPr>
        <w:t>Recuperado De:</w:t>
      </w:r>
    </w:p>
    <w:p w14:paraId="6449F3A1" w14:textId="56A50936" w:rsidR="246C3A79" w:rsidRDefault="246C3A79" w:rsidP="6F3BD31B">
      <w:pPr>
        <w:spacing w:before="0" w:after="0"/>
      </w:pPr>
      <w:hyperlink r:id="rId29">
        <w:r w:rsidRPr="6F3BD31B">
          <w:rPr>
            <w:rStyle w:val="Hipervnculo"/>
            <w:rFonts w:ascii="Arial" w:eastAsia="Arial" w:hAnsi="Arial" w:cs="Arial"/>
            <w:color w:val="0563C1"/>
            <w:sz w:val="22"/>
            <w:szCs w:val="22"/>
          </w:rPr>
          <w:t>https://www.integracionsocial.gov.co/images/_docs/2024/Documentos/24122024-Tipologia-Abandono-persona-mayor.pdf</w:t>
        </w:r>
      </w:hyperlink>
    </w:p>
    <w:p w14:paraId="61F9ED2C" w14:textId="20031501" w:rsidR="246C3A79" w:rsidRDefault="246C3A79" w:rsidP="6F3BD31B">
      <w:pPr>
        <w:spacing w:before="0" w:after="0"/>
      </w:pPr>
      <w:r w:rsidRPr="6F3BD31B">
        <w:rPr>
          <w:rFonts w:ascii="Arial" w:eastAsia="Arial" w:hAnsi="Arial" w:cs="Arial"/>
          <w:sz w:val="22"/>
          <w:szCs w:val="22"/>
        </w:rPr>
        <w:t xml:space="preserve"> </w:t>
      </w:r>
    </w:p>
    <w:p w14:paraId="7974C658" w14:textId="7B34BC9E" w:rsidR="246C3A79" w:rsidRDefault="246C3A79" w:rsidP="6F3BD31B">
      <w:pPr>
        <w:spacing w:before="0" w:after="0"/>
      </w:pPr>
      <w:r w:rsidRPr="6F3BD31B">
        <w:rPr>
          <w:rFonts w:ascii="Arial" w:eastAsia="Arial" w:hAnsi="Arial" w:cs="Arial"/>
          <w:i/>
          <w:iCs/>
          <w:sz w:val="22"/>
          <w:szCs w:val="22"/>
        </w:rPr>
        <w:t xml:space="preserve">Secretaría Distrital de Integración Social – SIRBE. (2025). </w:t>
      </w:r>
    </w:p>
    <w:p w14:paraId="341EBB29" w14:textId="39B56268" w:rsidR="246C3A79" w:rsidRDefault="246C3A79" w:rsidP="6F3BD31B">
      <w:pPr>
        <w:spacing w:before="0" w:after="0"/>
      </w:pPr>
      <w:r w:rsidRPr="6F3BD31B">
        <w:rPr>
          <w:rFonts w:ascii="Arial" w:eastAsia="Arial" w:hAnsi="Arial" w:cs="Arial"/>
          <w:sz w:val="22"/>
          <w:szCs w:val="22"/>
        </w:rPr>
        <w:t xml:space="preserve">Informe estadístico del Sistema de Información y Registro de Beneficiarios (SIRBE), corte 01 ene – 31 dic 2024. Bogotá, D.C., Colombia: SDIS. </w:t>
      </w:r>
    </w:p>
    <w:p w14:paraId="108C9741" w14:textId="76C2F46E" w:rsidR="246C3A79" w:rsidRDefault="246C3A79" w:rsidP="6F3BD31B">
      <w:pPr>
        <w:spacing w:before="0" w:after="0"/>
      </w:pPr>
      <w:r w:rsidRPr="6F3BD31B">
        <w:rPr>
          <w:rFonts w:ascii="Arial" w:eastAsia="Arial" w:hAnsi="Arial" w:cs="Arial"/>
          <w:sz w:val="22"/>
          <w:szCs w:val="22"/>
        </w:rPr>
        <w:t>Recuperado de:</w:t>
      </w:r>
    </w:p>
    <w:p w14:paraId="3BBFB061" w14:textId="5590DD49" w:rsidR="246C3A79" w:rsidRDefault="246C3A79" w:rsidP="6F3BD31B">
      <w:pPr>
        <w:spacing w:before="0" w:after="0"/>
      </w:pPr>
      <w:hyperlink r:id="rId30">
        <w:r w:rsidRPr="6F3BD31B">
          <w:rPr>
            <w:rStyle w:val="Hipervnculo"/>
            <w:rFonts w:ascii="Arial" w:eastAsia="Arial" w:hAnsi="Arial" w:cs="Arial"/>
            <w:color w:val="0563C1"/>
            <w:sz w:val="22"/>
            <w:szCs w:val="22"/>
          </w:rPr>
          <w:t>https://www.integracionsocial.gov.co/images/_docs/2025/Entidad/localidades/12052025-3-Santa-Fe-Diagnostico-2024.pdf</w:t>
        </w:r>
      </w:hyperlink>
    </w:p>
    <w:p w14:paraId="2DA9E1DC" w14:textId="37C6E8F8" w:rsidR="246C3A79" w:rsidRDefault="246C3A79" w:rsidP="6F3BD31B">
      <w:pPr>
        <w:spacing w:before="0" w:after="0"/>
      </w:pPr>
      <w:r w:rsidRPr="6F3BD31B">
        <w:rPr>
          <w:rFonts w:ascii="Arial" w:eastAsia="Arial" w:hAnsi="Arial" w:cs="Arial"/>
          <w:i/>
          <w:iCs/>
          <w:sz w:val="22"/>
          <w:szCs w:val="22"/>
        </w:rPr>
        <w:t xml:space="preserve"> </w:t>
      </w:r>
    </w:p>
    <w:p w14:paraId="08ECACD7" w14:textId="649039BD" w:rsidR="246C3A79" w:rsidRDefault="246C3A79" w:rsidP="6F3BD31B">
      <w:pPr>
        <w:spacing w:before="0" w:after="0"/>
      </w:pPr>
      <w:r w:rsidRPr="6F3BD31B">
        <w:rPr>
          <w:rFonts w:ascii="Arial" w:eastAsia="Arial" w:hAnsi="Arial" w:cs="Arial"/>
          <w:i/>
          <w:iCs/>
          <w:sz w:val="22"/>
          <w:szCs w:val="22"/>
        </w:rPr>
        <w:t>Secretaría Distrital de Integración Social. (2025).</w:t>
      </w:r>
    </w:p>
    <w:p w14:paraId="497AC823" w14:textId="47FD5FD8" w:rsidR="246C3A79" w:rsidRDefault="246C3A79" w:rsidP="6F3BD31B">
      <w:pPr>
        <w:spacing w:before="0" w:after="0"/>
      </w:pPr>
      <w:r w:rsidRPr="6F3BD31B">
        <w:rPr>
          <w:rFonts w:ascii="Arial" w:eastAsia="Arial" w:hAnsi="Arial" w:cs="Arial"/>
          <w:sz w:val="22"/>
          <w:szCs w:val="22"/>
        </w:rPr>
        <w:lastRenderedPageBreak/>
        <w:t xml:space="preserve">Foro “Porque Todos vamos pa’ allá”- Feria Internacional del Libro de Bogotá. Bogotá, D.C., Colombia. </w:t>
      </w:r>
    </w:p>
    <w:p w14:paraId="3826D8F7" w14:textId="5BF45845" w:rsidR="246C3A79" w:rsidRDefault="246C3A79" w:rsidP="6F3BD31B">
      <w:pPr>
        <w:spacing w:before="0" w:after="0"/>
      </w:pPr>
      <w:r w:rsidRPr="6F3BD31B">
        <w:rPr>
          <w:rFonts w:ascii="Arial" w:eastAsia="Arial" w:hAnsi="Arial" w:cs="Arial"/>
          <w:sz w:val="22"/>
          <w:szCs w:val="22"/>
        </w:rPr>
        <w:t>Recuperado De:</w:t>
      </w:r>
    </w:p>
    <w:p w14:paraId="3F8AECEC" w14:textId="737607E4" w:rsidR="246C3A79" w:rsidRDefault="246C3A79" w:rsidP="6F3BD31B">
      <w:pPr>
        <w:spacing w:before="0" w:after="0"/>
      </w:pPr>
      <w:hyperlink r:id="rId31">
        <w:r w:rsidRPr="6F3BD31B">
          <w:rPr>
            <w:rStyle w:val="Hipervnculo"/>
            <w:rFonts w:ascii="Arial" w:eastAsia="Arial" w:hAnsi="Arial" w:cs="Arial"/>
            <w:color w:val="0563C1"/>
            <w:sz w:val="22"/>
            <w:szCs w:val="22"/>
          </w:rPr>
          <w:t>https://web.facebook.com/integracionsocialbogota/videos/%EF%B8%8F/1277688020354579/?_rdc=1&amp;_rdr#</w:t>
        </w:r>
      </w:hyperlink>
    </w:p>
    <w:p w14:paraId="5B07935E" w14:textId="2AB8C976" w:rsidR="246C3A79" w:rsidRDefault="246C3A79" w:rsidP="6F3BD31B">
      <w:pPr>
        <w:spacing w:before="0" w:after="0"/>
      </w:pPr>
      <w:r w:rsidRPr="6F3BD31B">
        <w:rPr>
          <w:rFonts w:ascii="Arial" w:eastAsia="Arial" w:hAnsi="Arial" w:cs="Arial"/>
          <w:sz w:val="22"/>
          <w:szCs w:val="22"/>
        </w:rPr>
        <w:t xml:space="preserve"> </w:t>
      </w:r>
    </w:p>
    <w:p w14:paraId="2AA841B3" w14:textId="112E792A" w:rsidR="00567341" w:rsidRDefault="00567341" w:rsidP="00567341">
      <w:pPr>
        <w:spacing w:before="0" w:after="0"/>
      </w:pPr>
      <w:r w:rsidRPr="6F3BD31B">
        <w:rPr>
          <w:rFonts w:ascii="Arial" w:eastAsia="Arial" w:hAnsi="Arial" w:cs="Arial"/>
          <w:i/>
          <w:sz w:val="22"/>
          <w:szCs w:val="22"/>
        </w:rPr>
        <w:t xml:space="preserve">Secretaría Distrital de Planeación y </w:t>
      </w:r>
      <w:r w:rsidR="246C3A79" w:rsidRPr="6F3BD31B">
        <w:rPr>
          <w:rFonts w:ascii="Arial" w:eastAsia="Arial" w:hAnsi="Arial" w:cs="Arial"/>
          <w:i/>
          <w:iCs/>
          <w:sz w:val="22"/>
          <w:szCs w:val="22"/>
        </w:rPr>
        <w:t>Fundación Saldarriaga Concha. (2022).</w:t>
      </w:r>
      <w:r w:rsidRPr="6F3BD31B">
        <w:rPr>
          <w:rFonts w:ascii="Arial" w:eastAsia="Arial" w:hAnsi="Arial" w:cs="Arial"/>
          <w:i/>
          <w:sz w:val="22"/>
          <w:szCs w:val="22"/>
        </w:rPr>
        <w:t xml:space="preserve"> </w:t>
      </w:r>
    </w:p>
    <w:p w14:paraId="2191B692" w14:textId="01B03E8D" w:rsidR="00567341" w:rsidRDefault="00567341" w:rsidP="00567341">
      <w:pPr>
        <w:spacing w:before="0" w:after="0"/>
      </w:pPr>
      <w:r w:rsidRPr="6F3BD31B">
        <w:rPr>
          <w:rFonts w:ascii="Arial" w:eastAsia="Arial" w:hAnsi="Arial" w:cs="Arial"/>
          <w:sz w:val="22"/>
          <w:szCs w:val="22"/>
        </w:rPr>
        <w:t>Identificación de barreras de inclusión social y productiva para la población mayor en Bogotá (</w:t>
      </w:r>
      <w:r w:rsidR="246C3A79" w:rsidRPr="6F3BD31B">
        <w:rPr>
          <w:rFonts w:ascii="Arial" w:eastAsia="Arial" w:hAnsi="Arial" w:cs="Arial"/>
          <w:sz w:val="22"/>
          <w:szCs w:val="22"/>
        </w:rPr>
        <w:t>1ª ed.). (62 pp.) Bogotá, D.C., Colombia</w:t>
      </w:r>
      <w:r w:rsidRPr="6F3BD31B">
        <w:rPr>
          <w:rFonts w:ascii="Arial" w:eastAsia="Arial" w:hAnsi="Arial" w:cs="Arial"/>
          <w:sz w:val="22"/>
          <w:szCs w:val="22"/>
        </w:rPr>
        <w:t xml:space="preserve">: SDP. </w:t>
      </w:r>
    </w:p>
    <w:p w14:paraId="20F9D52A" w14:textId="60171211" w:rsidR="00567341" w:rsidRDefault="00567341" w:rsidP="00567341">
      <w:pPr>
        <w:spacing w:before="0" w:after="0"/>
      </w:pPr>
      <w:r w:rsidRPr="6F3BD31B">
        <w:rPr>
          <w:rFonts w:ascii="Arial" w:eastAsia="Arial" w:hAnsi="Arial" w:cs="Arial"/>
          <w:sz w:val="22"/>
          <w:szCs w:val="22"/>
        </w:rPr>
        <w:t xml:space="preserve">Recuperado de: </w:t>
      </w:r>
    </w:p>
    <w:p w14:paraId="1AF2EE5B" w14:textId="539042E3" w:rsidR="246C3A79" w:rsidRDefault="246C3A79" w:rsidP="6F3BD31B">
      <w:pPr>
        <w:spacing w:before="0" w:after="0"/>
      </w:pPr>
      <w:hyperlink r:id="rId32">
        <w:r w:rsidRPr="6F3BD31B">
          <w:rPr>
            <w:rStyle w:val="Hipervnculo"/>
            <w:rFonts w:ascii="Arial" w:eastAsia="Arial" w:hAnsi="Arial" w:cs="Arial"/>
            <w:color w:val="0563C1"/>
            <w:sz w:val="22"/>
            <w:szCs w:val="22"/>
          </w:rPr>
          <w:t>https://www.sdp.gov.co/sites/default/files/20220430_informe_inclusion_productiva_p_mayores.pdf</w:t>
        </w:r>
      </w:hyperlink>
    </w:p>
    <w:p w14:paraId="7987831E" w14:textId="1BA247FE" w:rsidR="246C3A79" w:rsidRDefault="246C3A79" w:rsidP="6F3BD31B">
      <w:pPr>
        <w:spacing w:before="0" w:after="0"/>
      </w:pPr>
      <w:r w:rsidRPr="6F3BD31B">
        <w:rPr>
          <w:rFonts w:ascii="Arial" w:eastAsia="Arial" w:hAnsi="Arial" w:cs="Arial"/>
          <w:i/>
          <w:iCs/>
          <w:sz w:val="22"/>
          <w:szCs w:val="22"/>
        </w:rPr>
        <w:t xml:space="preserve"> </w:t>
      </w:r>
    </w:p>
    <w:p w14:paraId="0AACA0A7" w14:textId="410FA9C8" w:rsidR="00FC0B57" w:rsidRDefault="00567341" w:rsidP="00FC0B57">
      <w:pPr>
        <w:spacing w:before="0" w:after="0"/>
      </w:pPr>
      <w:r w:rsidRPr="6F3BD31B">
        <w:rPr>
          <w:rFonts w:ascii="Arial" w:eastAsia="Arial" w:hAnsi="Arial" w:cs="Arial"/>
          <w:i/>
          <w:sz w:val="22"/>
          <w:szCs w:val="22"/>
        </w:rPr>
        <w:t>Secretaría Distrital de Planeación</w:t>
      </w:r>
      <w:r w:rsidR="246C3A79" w:rsidRPr="6F3BD31B">
        <w:rPr>
          <w:rFonts w:ascii="Arial" w:eastAsia="Arial" w:hAnsi="Arial" w:cs="Arial"/>
          <w:i/>
          <w:iCs/>
          <w:sz w:val="22"/>
          <w:szCs w:val="22"/>
        </w:rPr>
        <w:t>. (2023).</w:t>
      </w:r>
      <w:r w:rsidRPr="6F3BD31B">
        <w:rPr>
          <w:rFonts w:ascii="Arial" w:eastAsia="Arial" w:hAnsi="Arial" w:cs="Arial"/>
          <w:i/>
          <w:sz w:val="22"/>
          <w:szCs w:val="22"/>
        </w:rPr>
        <w:t xml:space="preserve"> </w:t>
      </w:r>
    </w:p>
    <w:p w14:paraId="3075501A" w14:textId="271C246A" w:rsidR="00FC0B57" w:rsidRDefault="00567341" w:rsidP="00FC0B57">
      <w:pPr>
        <w:spacing w:before="0" w:after="0"/>
      </w:pPr>
      <w:r w:rsidRPr="6F3BD31B">
        <w:rPr>
          <w:rFonts w:ascii="Arial" w:eastAsia="Arial" w:hAnsi="Arial" w:cs="Arial"/>
          <w:sz w:val="22"/>
          <w:szCs w:val="22"/>
        </w:rPr>
        <w:t>Guía para la formulación e implementación de políticas públicas en el Distrito Capital (</w:t>
      </w:r>
      <w:r w:rsidR="246C3A79" w:rsidRPr="6F3BD31B">
        <w:rPr>
          <w:rFonts w:ascii="Arial" w:eastAsia="Arial" w:hAnsi="Arial" w:cs="Arial"/>
          <w:sz w:val="22"/>
          <w:szCs w:val="22"/>
        </w:rPr>
        <w:t>Versión 3). (66 pp.) Bogotá, D.C., Colombia</w:t>
      </w:r>
      <w:r w:rsidRPr="6F3BD31B">
        <w:rPr>
          <w:rFonts w:ascii="Arial" w:eastAsia="Arial" w:hAnsi="Arial" w:cs="Arial"/>
          <w:sz w:val="22"/>
          <w:szCs w:val="22"/>
        </w:rPr>
        <w:t xml:space="preserve">: SDP. </w:t>
      </w:r>
    </w:p>
    <w:p w14:paraId="440D8007" w14:textId="133D5F72" w:rsidR="00FC0B57" w:rsidRDefault="00567341" w:rsidP="00FC0B57">
      <w:pPr>
        <w:spacing w:before="0" w:after="0"/>
      </w:pPr>
      <w:r w:rsidRPr="6F3BD31B">
        <w:rPr>
          <w:rFonts w:ascii="Arial" w:eastAsia="Arial" w:hAnsi="Arial" w:cs="Arial"/>
          <w:sz w:val="22"/>
          <w:szCs w:val="22"/>
        </w:rPr>
        <w:t>Recuperado de</w:t>
      </w:r>
      <w:r w:rsidR="00FC0B57" w:rsidRPr="6F3BD31B">
        <w:rPr>
          <w:rFonts w:ascii="Arial" w:eastAsia="Arial" w:hAnsi="Arial" w:cs="Arial"/>
          <w:sz w:val="22"/>
          <w:szCs w:val="22"/>
        </w:rPr>
        <w:t>:</w:t>
      </w:r>
    </w:p>
    <w:p w14:paraId="3D4392D3" w14:textId="498D59A1" w:rsidR="246C3A79" w:rsidRDefault="246C3A79" w:rsidP="6F3BD31B">
      <w:pPr>
        <w:spacing w:before="0" w:after="0"/>
      </w:pPr>
      <w:hyperlink r:id="rId33">
        <w:r w:rsidRPr="6F3BD31B">
          <w:rPr>
            <w:rStyle w:val="Hipervnculo"/>
            <w:rFonts w:ascii="Arial" w:eastAsia="Arial" w:hAnsi="Arial" w:cs="Arial"/>
            <w:color w:val="0563C1"/>
            <w:sz w:val="22"/>
            <w:szCs w:val="22"/>
          </w:rPr>
          <w:t>https://drive.google.com/drive/folders/14taw7KSYDLLLmrHW00PAefIXU-mqiR2S</w:t>
        </w:r>
      </w:hyperlink>
    </w:p>
    <w:p w14:paraId="73D9D13B" w14:textId="52D365C6" w:rsidR="246C3A79" w:rsidRDefault="246C3A79" w:rsidP="6F3BD31B">
      <w:pPr>
        <w:spacing w:before="0" w:after="0"/>
      </w:pPr>
      <w:r w:rsidRPr="6F3BD31B">
        <w:rPr>
          <w:rFonts w:ascii="Arial" w:eastAsia="Arial" w:hAnsi="Arial" w:cs="Arial"/>
          <w:i/>
          <w:iCs/>
          <w:sz w:val="22"/>
          <w:szCs w:val="22"/>
        </w:rPr>
        <w:t xml:space="preserve"> </w:t>
      </w:r>
    </w:p>
    <w:p w14:paraId="6306B978" w14:textId="20DAD4CD" w:rsidR="246C3A79" w:rsidRDefault="246C3A79" w:rsidP="6F3BD31B">
      <w:pPr>
        <w:spacing w:before="0" w:after="0"/>
      </w:pPr>
      <w:r w:rsidRPr="6F3BD31B">
        <w:rPr>
          <w:rFonts w:ascii="Arial" w:eastAsia="Arial" w:hAnsi="Arial" w:cs="Arial"/>
          <w:i/>
          <w:iCs/>
          <w:sz w:val="22"/>
          <w:szCs w:val="22"/>
        </w:rPr>
        <w:t>Secretaría Distrital de Planeación y Secretaría Distrital de Integración Social.</w:t>
      </w:r>
      <w:r w:rsidRPr="6F3BD31B">
        <w:rPr>
          <w:rFonts w:ascii="Arial" w:eastAsia="Arial" w:hAnsi="Arial" w:cs="Arial"/>
          <w:sz w:val="22"/>
          <w:szCs w:val="22"/>
        </w:rPr>
        <w:t xml:space="preserve"> (2025).</w:t>
      </w:r>
    </w:p>
    <w:p w14:paraId="0357DA49" w14:textId="285BF665" w:rsidR="246C3A79" w:rsidRDefault="246C3A79" w:rsidP="6F3BD31B">
      <w:pPr>
        <w:spacing w:before="0" w:after="0"/>
      </w:pPr>
      <w:r w:rsidRPr="6F3BD31B">
        <w:rPr>
          <w:rFonts w:ascii="Arial" w:eastAsia="Arial" w:hAnsi="Arial" w:cs="Arial"/>
          <w:sz w:val="22"/>
          <w:szCs w:val="22"/>
        </w:rPr>
        <w:t>Resultados principales – Censo de Habitantes de Calle de Bogotá 2024.(40 pp.)</w:t>
      </w:r>
    </w:p>
    <w:p w14:paraId="13C7C85C" w14:textId="5A072C49" w:rsidR="246C3A79" w:rsidRDefault="246C3A79" w:rsidP="6F3BD31B">
      <w:pPr>
        <w:spacing w:before="0" w:after="0"/>
      </w:pPr>
      <w:r w:rsidRPr="6F3BD31B">
        <w:rPr>
          <w:rFonts w:ascii="Arial" w:eastAsia="Arial" w:hAnsi="Arial" w:cs="Arial"/>
          <w:sz w:val="22"/>
          <w:szCs w:val="22"/>
        </w:rPr>
        <w:t>Bogotá, D.C., Colombia: Alcaldía Mayor de Bogotá.</w:t>
      </w:r>
    </w:p>
    <w:p w14:paraId="396F48D0" w14:textId="18B6F564" w:rsidR="00525160" w:rsidRDefault="00567341" w:rsidP="00525160">
      <w:pPr>
        <w:spacing w:before="0" w:after="0"/>
      </w:pPr>
      <w:r w:rsidRPr="6F3BD31B">
        <w:rPr>
          <w:rFonts w:ascii="Arial" w:eastAsia="Arial" w:hAnsi="Arial" w:cs="Arial"/>
          <w:sz w:val="22"/>
          <w:szCs w:val="22"/>
        </w:rPr>
        <w:t>Recuperado de</w:t>
      </w:r>
      <w:r w:rsidR="00525160" w:rsidRPr="6F3BD31B">
        <w:rPr>
          <w:rFonts w:ascii="Arial" w:eastAsia="Arial" w:hAnsi="Arial" w:cs="Arial"/>
          <w:sz w:val="22"/>
          <w:szCs w:val="22"/>
        </w:rPr>
        <w:t>:</w:t>
      </w:r>
    </w:p>
    <w:p w14:paraId="0D25A9EA" w14:textId="0E71C23E" w:rsidR="246C3A79" w:rsidRDefault="246C3A79" w:rsidP="6F3BD31B">
      <w:pPr>
        <w:spacing w:before="0" w:after="0"/>
      </w:pPr>
      <w:hyperlink r:id="rId34">
        <w:r w:rsidRPr="6F3BD31B">
          <w:rPr>
            <w:rStyle w:val="Hipervnculo"/>
            <w:rFonts w:ascii="Arial" w:eastAsia="Arial" w:hAnsi="Arial" w:cs="Arial"/>
            <w:color w:val="0563C1"/>
            <w:sz w:val="22"/>
            <w:szCs w:val="22"/>
          </w:rPr>
          <w:t>https://www.integracionsocial.gov.co/images/_docs/2025/Documentos/14022025-Boletin-resultados.pdf</w:t>
        </w:r>
      </w:hyperlink>
    </w:p>
    <w:sectPr w:rsidR="246C3A79" w:rsidSect="00306868">
      <w:headerReference w:type="default" r:id="rId35"/>
      <w:footerReference w:type="default" r:id="rId36"/>
      <w:pgSz w:w="12240" w:h="15840"/>
      <w:pgMar w:top="1702"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9D82E" w14:textId="77777777" w:rsidR="00A409A4" w:rsidRDefault="00A409A4">
      <w:pPr>
        <w:spacing w:before="0" w:after="0"/>
      </w:pPr>
      <w:r>
        <w:separator/>
      </w:r>
    </w:p>
  </w:endnote>
  <w:endnote w:type="continuationSeparator" w:id="0">
    <w:p w14:paraId="4D6F2646" w14:textId="77777777" w:rsidR="00A409A4" w:rsidRDefault="00A409A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Nova Light">
    <w:altName w:val="Arial"/>
    <w:charset w:val="00"/>
    <w:family w:val="swiss"/>
    <w:pitch w:val="variable"/>
    <w:sig w:usb0="0000028F" w:usb1="00000002"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2A50B" w14:textId="77777777" w:rsidR="00E30A00" w:rsidRDefault="003B12C0">
    <w:pPr>
      <w:pBdr>
        <w:top w:val="nil"/>
        <w:left w:val="nil"/>
        <w:bottom w:val="nil"/>
        <w:right w:val="nil"/>
        <w:between w:val="nil"/>
      </w:pBdr>
      <w:tabs>
        <w:tab w:val="center" w:pos="4419"/>
        <w:tab w:val="right" w:pos="8838"/>
      </w:tabs>
      <w:spacing w:after="0"/>
      <w:jc w:val="right"/>
      <w:rPr>
        <w:color w:val="000000"/>
      </w:rPr>
    </w:pPr>
    <w:r>
      <w:rPr>
        <w:color w:val="000000"/>
      </w:rPr>
      <w:fldChar w:fldCharType="begin"/>
    </w:r>
    <w:r>
      <w:rPr>
        <w:color w:val="000000"/>
      </w:rPr>
      <w:instrText>PAGE</w:instrText>
    </w:r>
    <w:r>
      <w:rPr>
        <w:color w:val="000000"/>
      </w:rPr>
      <w:fldChar w:fldCharType="separate"/>
    </w:r>
    <w:r w:rsidR="00EE3981">
      <w:rPr>
        <w:noProof/>
        <w:color w:val="000000"/>
      </w:rPr>
      <w:t>8</w:t>
    </w:r>
    <w:r>
      <w:rPr>
        <w:color w:val="000000"/>
      </w:rPr>
      <w:fldChar w:fldCharType="end"/>
    </w:r>
  </w:p>
  <w:p w14:paraId="1C427AA7" w14:textId="77777777" w:rsidR="00E30A00" w:rsidRDefault="00E30A00">
    <w:pPr>
      <w:pBdr>
        <w:top w:val="nil"/>
        <w:left w:val="nil"/>
        <w:bottom w:val="nil"/>
        <w:right w:val="nil"/>
        <w:between w:val="nil"/>
      </w:pBdr>
      <w:tabs>
        <w:tab w:val="center" w:pos="4419"/>
        <w:tab w:val="right" w:pos="8838"/>
      </w:tabs>
      <w:spacing w:after="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E4982" w14:textId="77777777" w:rsidR="00A409A4" w:rsidRDefault="00A409A4">
      <w:pPr>
        <w:spacing w:before="0" w:after="0"/>
      </w:pPr>
      <w:r>
        <w:separator/>
      </w:r>
    </w:p>
  </w:footnote>
  <w:footnote w:type="continuationSeparator" w:id="0">
    <w:p w14:paraId="6870FDF2" w14:textId="77777777" w:rsidR="00A409A4" w:rsidRDefault="00A409A4">
      <w:pPr>
        <w:spacing w:before="0" w:after="0"/>
      </w:pPr>
      <w:r>
        <w:continuationSeparator/>
      </w:r>
    </w:p>
  </w:footnote>
  <w:footnote w:id="1">
    <w:p w14:paraId="216615B0" w14:textId="4E6C0942" w:rsidR="07859358" w:rsidRDefault="07859358" w:rsidP="07859358">
      <w:pPr>
        <w:pStyle w:val="Textonotapie"/>
        <w:rPr>
          <w:sz w:val="16"/>
          <w:szCs w:val="16"/>
        </w:rPr>
      </w:pPr>
      <w:r w:rsidRPr="07859358">
        <w:rPr>
          <w:rStyle w:val="Refdenotaalpie"/>
        </w:rPr>
        <w:footnoteRef/>
      </w:r>
      <w:r w:rsidRPr="07859358">
        <w:rPr>
          <w:sz w:val="16"/>
          <w:szCs w:val="16"/>
        </w:rPr>
        <w:t xml:space="preserve"> Proyecciones DANE partir de Censo Poblacional de 2018, con ajuste Post-Pandemia</w:t>
      </w:r>
    </w:p>
  </w:footnote>
  <w:footnote w:id="2">
    <w:p w14:paraId="2337437C" w14:textId="224D5A65" w:rsidR="00D1333B" w:rsidRPr="00B65572" w:rsidRDefault="00D1333B">
      <w:pPr>
        <w:pStyle w:val="Textonotapie"/>
        <w:rPr>
          <w:sz w:val="16"/>
          <w:szCs w:val="16"/>
        </w:rPr>
      </w:pPr>
      <w:r w:rsidRPr="00B65572">
        <w:rPr>
          <w:rStyle w:val="Refdenotaalpie"/>
          <w:sz w:val="16"/>
          <w:szCs w:val="16"/>
        </w:rPr>
        <w:footnoteRef/>
      </w:r>
      <w:r w:rsidR="01959871" w:rsidRPr="00B65572">
        <w:rPr>
          <w:sz w:val="16"/>
          <w:szCs w:val="16"/>
        </w:rPr>
        <w:t xml:space="preserve"> Ibidem 1. </w:t>
      </w:r>
    </w:p>
  </w:footnote>
  <w:footnote w:id="3">
    <w:p w14:paraId="0C6B2E4D" w14:textId="62D2AF3B" w:rsidR="33BE878A" w:rsidRPr="00B65572" w:rsidRDefault="33BE878A" w:rsidP="33BE878A">
      <w:pPr>
        <w:pStyle w:val="Textonotapie"/>
        <w:rPr>
          <w:sz w:val="16"/>
          <w:szCs w:val="16"/>
        </w:rPr>
      </w:pPr>
      <w:r w:rsidRPr="00B65572">
        <w:rPr>
          <w:rStyle w:val="Refdenotaalpie"/>
          <w:sz w:val="16"/>
          <w:szCs w:val="16"/>
        </w:rPr>
        <w:footnoteRef/>
      </w:r>
      <w:r w:rsidRPr="00B65572">
        <w:rPr>
          <w:sz w:val="16"/>
          <w:szCs w:val="16"/>
        </w:rPr>
        <w:t xml:space="preserve"> Tomos I y II del estudio “Implicaciones de la emergencia sanitaria, económica y social generada por la COVID-19 en las personas mayores en Bogotá” (SDIS, 2023); Actualización de la línea de base de la Política Pública Social para el Envejecimiento y la Vejez (2023); CONPES 19 Actualización del Plan de Acción de la “Política Pública Social Para El Envejecimiento Y La Vejez 2010-2025 (2022</w:t>
      </w:r>
      <w:r w:rsidR="00B65572" w:rsidRPr="00B65572">
        <w:rPr>
          <w:sz w:val="16"/>
          <w:szCs w:val="16"/>
        </w:rPr>
        <w:t>); Memorias</w:t>
      </w:r>
      <w:r w:rsidRPr="00B65572">
        <w:rPr>
          <w:sz w:val="16"/>
          <w:szCs w:val="16"/>
        </w:rPr>
        <w:t xml:space="preserve"> evento académico. “Las personas mayores se toman la palabra-Retos y apuestas en la Vejez y el Envejecimiento en de Bogotá (2024</w:t>
      </w:r>
      <w:r w:rsidR="00B65572" w:rsidRPr="00B65572">
        <w:rPr>
          <w:sz w:val="16"/>
          <w:szCs w:val="16"/>
        </w:rPr>
        <w:t>); Documento</w:t>
      </w:r>
      <w:r w:rsidRPr="00B65572">
        <w:rPr>
          <w:sz w:val="16"/>
          <w:szCs w:val="16"/>
        </w:rPr>
        <w:t xml:space="preserve"> “Tipología de abandono de personas mayores en Bogotá y recomendaciones para su abordaje” (2024); Foro “Porque Todos vamos pa’ allá”- FILBO 2025;</w:t>
      </w:r>
    </w:p>
  </w:footnote>
  <w:footnote w:id="4">
    <w:p w14:paraId="542A942B" w14:textId="7055A725" w:rsidR="00562BE2" w:rsidRDefault="00562BE2">
      <w:pPr>
        <w:pStyle w:val="Textonotapie"/>
      </w:pPr>
      <w:r w:rsidRPr="00B65572">
        <w:rPr>
          <w:rStyle w:val="Refdenotaalpie"/>
          <w:sz w:val="16"/>
          <w:szCs w:val="16"/>
        </w:rPr>
        <w:footnoteRef/>
      </w:r>
      <w:r w:rsidRPr="00B65572">
        <w:rPr>
          <w:sz w:val="16"/>
          <w:szCs w:val="16"/>
        </w:rPr>
        <w:t xml:space="preserve"> Secretaria Distrital de Planeación (2022). Identificación de barreras de inclusión social y productiva para la población mayor en Bogotá.</w:t>
      </w:r>
    </w:p>
  </w:footnote>
  <w:footnote w:id="5">
    <w:p w14:paraId="4852F7B7" w14:textId="6978522A" w:rsidR="00CB5F77" w:rsidRPr="00A122ED" w:rsidRDefault="00CB5F77">
      <w:pPr>
        <w:pStyle w:val="Textonotapie"/>
        <w:rPr>
          <w:sz w:val="16"/>
          <w:szCs w:val="16"/>
        </w:rPr>
      </w:pPr>
      <w:r w:rsidRPr="00A122ED">
        <w:rPr>
          <w:rStyle w:val="Refdenotaalpie"/>
          <w:sz w:val="16"/>
          <w:szCs w:val="16"/>
        </w:rPr>
        <w:footnoteRef/>
      </w:r>
      <w:r w:rsidRPr="00A122ED">
        <w:rPr>
          <w:sz w:val="16"/>
          <w:szCs w:val="16"/>
        </w:rPr>
        <w:t xml:space="preserve"> </w:t>
      </w:r>
      <w:r w:rsidR="002E0B00" w:rsidRPr="00A122ED">
        <w:rPr>
          <w:sz w:val="16"/>
          <w:szCs w:val="16"/>
        </w:rPr>
        <w:t>El edadismo, entendido como la discriminación a razón de la edad, y el viejismo, como la discriminación por ser persona mayor, son dos de las causas estructurales de las diferentes formas de maltrato hacia las personas mayores de 60 años</w:t>
      </w:r>
      <w:r w:rsidR="00155AEC" w:rsidRPr="00A122ED">
        <w:rPr>
          <w:sz w:val="16"/>
          <w:szCs w:val="16"/>
        </w:rPr>
        <w:t>.</w:t>
      </w:r>
      <w:r w:rsidR="0037083D" w:rsidRPr="00A122ED">
        <w:rPr>
          <w:sz w:val="16"/>
          <w:szCs w:val="16"/>
        </w:rPr>
        <w:t xml:space="preserve"> Tomado de la Línea Base 2023</w:t>
      </w:r>
    </w:p>
  </w:footnote>
  <w:footnote w:id="6">
    <w:p w14:paraId="67EF96BB" w14:textId="30E46467" w:rsidR="00163374" w:rsidRPr="00A122ED" w:rsidRDefault="00163374" w:rsidP="00163374">
      <w:pPr>
        <w:pStyle w:val="Textonotapie"/>
        <w:rPr>
          <w:sz w:val="16"/>
          <w:szCs w:val="16"/>
        </w:rPr>
      </w:pPr>
      <w:r w:rsidRPr="00A122ED">
        <w:rPr>
          <w:rStyle w:val="Refdenotaalpie"/>
          <w:sz w:val="16"/>
          <w:szCs w:val="16"/>
        </w:rPr>
        <w:footnoteRef/>
      </w:r>
      <w:r w:rsidRPr="00A122ED">
        <w:rPr>
          <w:sz w:val="16"/>
          <w:szCs w:val="16"/>
        </w:rPr>
        <w:t xml:space="preserve"> Sistema de Información y Registro de Beneficiarios -SIRBE-Comisarias de Familia. Corte diciembre de 2024</w:t>
      </w:r>
    </w:p>
  </w:footnote>
  <w:footnote w:id="7">
    <w:p w14:paraId="177022BE" w14:textId="5113B466" w:rsidR="00281F7E" w:rsidRPr="00A122ED" w:rsidRDefault="00281F7E">
      <w:pPr>
        <w:pStyle w:val="Textonotapie"/>
        <w:rPr>
          <w:sz w:val="16"/>
          <w:szCs w:val="16"/>
        </w:rPr>
      </w:pPr>
      <w:r w:rsidRPr="00A122ED">
        <w:rPr>
          <w:rStyle w:val="Refdenotaalpie"/>
          <w:sz w:val="16"/>
          <w:szCs w:val="16"/>
        </w:rPr>
        <w:footnoteRef/>
      </w:r>
      <w:r w:rsidRPr="00A122ED">
        <w:rPr>
          <w:sz w:val="16"/>
          <w:szCs w:val="16"/>
        </w:rPr>
        <w:t xml:space="preserve"> </w:t>
      </w:r>
      <w:r w:rsidR="008548B0" w:rsidRPr="00A122ED">
        <w:rPr>
          <w:sz w:val="16"/>
          <w:szCs w:val="16"/>
        </w:rPr>
        <w:t>Boletín estadístico mensual adulto mayor grupo centro de referencia Nacional sobre violencias diciembre 2024</w:t>
      </w:r>
      <w:r w:rsidR="00872830" w:rsidRPr="00A122ED">
        <w:rPr>
          <w:sz w:val="16"/>
          <w:szCs w:val="16"/>
        </w:rPr>
        <w:t>.</w:t>
      </w:r>
      <w:r w:rsidR="00C06C33" w:rsidRPr="00A122ED">
        <w:rPr>
          <w:sz w:val="16"/>
          <w:szCs w:val="16"/>
        </w:rPr>
        <w:t xml:space="preserve"> Instituto Nacional de Medicina Legal </w:t>
      </w:r>
      <w:r w:rsidR="00981774" w:rsidRPr="00A122ED">
        <w:rPr>
          <w:sz w:val="16"/>
          <w:szCs w:val="16"/>
        </w:rPr>
        <w:t xml:space="preserve">y Ciencias Forenses. </w:t>
      </w:r>
      <w:r w:rsidR="0031631A" w:rsidRPr="00A122ED">
        <w:rPr>
          <w:sz w:val="16"/>
          <w:szCs w:val="16"/>
        </w:rPr>
        <w:t xml:space="preserve">Tomado de </w:t>
      </w:r>
      <w:r w:rsidR="007C48F2" w:rsidRPr="00A122ED">
        <w:rPr>
          <w:sz w:val="16"/>
          <w:szCs w:val="16"/>
        </w:rPr>
        <w:t>https://www.medicinalegal.gov.co/documents/20143/1003385/Boletin_adulto_mayor_diciembre_2024.pdf</w:t>
      </w:r>
    </w:p>
  </w:footnote>
  <w:footnote w:id="8">
    <w:p w14:paraId="06B0CB14" w14:textId="5684228B" w:rsidR="41F71D56" w:rsidRPr="00B65572" w:rsidRDefault="41F71D56" w:rsidP="41F71D56">
      <w:pPr>
        <w:pStyle w:val="Textonotapie"/>
        <w:rPr>
          <w:sz w:val="16"/>
          <w:szCs w:val="16"/>
        </w:rPr>
      </w:pPr>
      <w:r w:rsidRPr="00B65572">
        <w:rPr>
          <w:rStyle w:val="Refdenotaalpie"/>
          <w:sz w:val="16"/>
          <w:szCs w:val="16"/>
        </w:rPr>
        <w:footnoteRef/>
      </w:r>
      <w:r w:rsidRPr="00B65572">
        <w:rPr>
          <w:sz w:val="16"/>
          <w:szCs w:val="16"/>
        </w:rPr>
        <w:t xml:space="preserve"> https://revistas.javeriana.edu.co/files-articulos/UMED/61-2%20(2020)/231062391009/</w:t>
      </w:r>
    </w:p>
  </w:footnote>
  <w:footnote w:id="9">
    <w:p w14:paraId="6D76657D" w14:textId="77777777" w:rsidR="00163374" w:rsidRPr="0033332B" w:rsidRDefault="00163374" w:rsidP="00163374">
      <w:pPr>
        <w:pStyle w:val="Textonotapie"/>
        <w:rPr>
          <w:sz w:val="16"/>
          <w:szCs w:val="16"/>
        </w:rPr>
      </w:pPr>
      <w:r w:rsidRPr="00B65572">
        <w:rPr>
          <w:rStyle w:val="Refdenotaalpie"/>
          <w:sz w:val="16"/>
          <w:szCs w:val="16"/>
        </w:rPr>
        <w:footnoteRef/>
      </w:r>
      <w:r w:rsidRPr="00B65572">
        <w:rPr>
          <w:sz w:val="16"/>
          <w:szCs w:val="16"/>
        </w:rPr>
        <w:t xml:space="preserve"> Resultados Principales Censo de Habitantes de Calle de Bogotá 2024 (SDP-SDIS)</w:t>
      </w:r>
    </w:p>
  </w:footnote>
  <w:footnote w:id="10">
    <w:p w14:paraId="31F41092" w14:textId="77777777" w:rsidR="004805ED" w:rsidRDefault="004805ED" w:rsidP="004805ED">
      <w:pPr>
        <w:pStyle w:val="Textonotapie"/>
      </w:pPr>
      <w:r w:rsidRPr="6309C10E">
        <w:rPr>
          <w:rStyle w:val="Refdenotaalpie"/>
        </w:rPr>
        <w:footnoteRef/>
      </w:r>
      <w:r>
        <w:t xml:space="preserve"> </w:t>
      </w:r>
      <w:r w:rsidRPr="00A122ED">
        <w:rPr>
          <w:sz w:val="16"/>
          <w:szCs w:val="16"/>
        </w:rPr>
        <w:t>“Guía para la formulación e Implementación de Políticas Públicas en el Distrito Capital” (Versión 3) de la Secretaría Distrital de Planeación.</w:t>
      </w:r>
    </w:p>
  </w:footnote>
  <w:footnote w:id="11">
    <w:p w14:paraId="07951FEF" w14:textId="1E69971A" w:rsidR="41F71D56" w:rsidRDefault="41F71D56" w:rsidP="41F71D56">
      <w:pPr>
        <w:pStyle w:val="Textonotapie"/>
        <w:rPr>
          <w:sz w:val="16"/>
          <w:szCs w:val="16"/>
        </w:rPr>
      </w:pPr>
      <w:r w:rsidRPr="41F71D56">
        <w:rPr>
          <w:rStyle w:val="Refdenotaalpie"/>
          <w:sz w:val="16"/>
          <w:szCs w:val="16"/>
        </w:rPr>
        <w:footnoteRef/>
      </w:r>
      <w:r w:rsidRPr="41F71D56">
        <w:rPr>
          <w:sz w:val="16"/>
          <w:szCs w:val="16"/>
        </w:rPr>
        <w:t xml:space="preserve"> Plan Distrital de Desarrollo “Bogotá Camina Segura 2024-2027” - Acuerdo 927 de 2024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71A6A" w14:textId="19C10951" w:rsidR="00E30A00" w:rsidRDefault="002A1885">
    <w:pPr>
      <w:pBdr>
        <w:top w:val="nil"/>
        <w:left w:val="nil"/>
        <w:bottom w:val="nil"/>
        <w:right w:val="nil"/>
        <w:between w:val="nil"/>
      </w:pBdr>
      <w:tabs>
        <w:tab w:val="center" w:pos="4419"/>
        <w:tab w:val="right" w:pos="8838"/>
      </w:tabs>
      <w:spacing w:after="0"/>
      <w:jc w:val="center"/>
      <w:rPr>
        <w:color w:val="000000"/>
      </w:rPr>
    </w:pPr>
    <w:r>
      <w:rPr>
        <w:noProof/>
        <w:bdr w:val="none" w:sz="0" w:space="0" w:color="auto" w:frame="1"/>
      </w:rPr>
      <w:drawing>
        <wp:anchor distT="0" distB="0" distL="114300" distR="114300" simplePos="0" relativeHeight="251658241" behindDoc="0" locked="0" layoutInCell="1" allowOverlap="1" wp14:anchorId="0F12B5F1" wp14:editId="3627CA2C">
          <wp:simplePos x="0" y="0"/>
          <wp:positionH relativeFrom="column">
            <wp:posOffset>-772942</wp:posOffset>
          </wp:positionH>
          <wp:positionV relativeFrom="paragraph">
            <wp:posOffset>-195091</wp:posOffset>
          </wp:positionV>
          <wp:extent cx="2057400" cy="527685"/>
          <wp:effectExtent l="0" t="0" r="0" b="5715"/>
          <wp:wrapSquare wrapText="bothSides"/>
          <wp:docPr id="2" name="Imagen 2" descr="https://lh7-rt.googleusercontent.com/docsz/AD_4nXdG5aL401bnC8POhecPEqI4_jCZhc-dLUslgYoqibHmDcWxTa_EkGS7VRarnR2K0O0HFwQrEA4J_5w4NT2wZwBP-xFTEUHnc6zv0iQ_M4Q77H7CA-nuxNEOpF-hHIWQIH0ZBjIQy6MO8A_CtIWO6og?key=4uuCkKI62nKKd6O6HTYc6B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7-rt.googleusercontent.com/docsz/AD_4nXdG5aL401bnC8POhecPEqI4_jCZhc-dLUslgYoqibHmDcWxTa_EkGS7VRarnR2K0O0HFwQrEA4J_5w4NT2wZwBP-xFTEUHnc6zv0iQ_M4Q77H7CA-nuxNEOpF-hHIWQIH0ZBjIQy6MO8A_CtIWO6og?key=4uuCkKI62nKKd6O6HTYc6BE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57400" cy="527685"/>
                  </a:xfrm>
                  <a:prstGeom prst="rect">
                    <a:avLst/>
                  </a:prstGeom>
                  <a:noFill/>
                  <a:ln>
                    <a:noFill/>
                  </a:ln>
                </pic:spPr>
              </pic:pic>
            </a:graphicData>
          </a:graphic>
        </wp:anchor>
      </w:drawing>
    </w:r>
    <w:r w:rsidR="007C3E91" w:rsidRPr="007C3E91">
      <w:rPr>
        <w:noProof/>
        <w:color w:val="000000"/>
      </w:rPr>
      <mc:AlternateContent>
        <mc:Choice Requires="wps">
          <w:drawing>
            <wp:anchor distT="45720" distB="45720" distL="114300" distR="114300" simplePos="0" relativeHeight="251658240" behindDoc="0" locked="0" layoutInCell="1" allowOverlap="1" wp14:anchorId="39C1F888" wp14:editId="5EC07621">
              <wp:simplePos x="0" y="0"/>
              <wp:positionH relativeFrom="margin">
                <wp:align>right</wp:align>
              </wp:positionH>
              <wp:positionV relativeFrom="paragraph">
                <wp:posOffset>68580</wp:posOffset>
              </wp:positionV>
              <wp:extent cx="2606040" cy="419100"/>
              <wp:effectExtent l="0" t="0" r="3810" b="0"/>
              <wp:wrapSquare wrapText="bothSides"/>
              <wp:docPr id="217"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6040" cy="419100"/>
                      </a:xfrm>
                      <a:prstGeom prst="rect">
                        <a:avLst/>
                      </a:prstGeom>
                      <a:solidFill>
                        <a:srgbClr val="FFFFFF"/>
                      </a:solidFill>
                      <a:ln w="9525">
                        <a:noFill/>
                        <a:miter lim="800000"/>
                        <a:headEnd/>
                        <a:tailEnd/>
                      </a:ln>
                    </wps:spPr>
                    <wps:txbx>
                      <w:txbxContent>
                        <w:p w14:paraId="7425D5F7" w14:textId="06339867" w:rsidR="007C3E91" w:rsidRPr="000E6B3D" w:rsidRDefault="007C3E91" w:rsidP="007C3E91">
                          <w:pPr>
                            <w:pStyle w:val="Ttulo1"/>
                            <w:spacing w:before="0"/>
                            <w:rPr>
                              <w:rFonts w:ascii="Arial Nova Light" w:eastAsia="Arial" w:hAnsi="Arial Nova Light" w:cs="Arial"/>
                              <w:color w:val="000000" w:themeColor="text1"/>
                              <w:sz w:val="14"/>
                              <w:szCs w:val="14"/>
                            </w:rPr>
                          </w:pPr>
                          <w:r w:rsidRPr="000E6B3D">
                            <w:rPr>
                              <w:rFonts w:ascii="Arial Nova Light" w:eastAsia="Arial" w:hAnsi="Arial Nova Light" w:cs="Arial"/>
                              <w:color w:val="000000" w:themeColor="text1"/>
                              <w:sz w:val="14"/>
                              <w:szCs w:val="14"/>
                            </w:rPr>
                            <w:t>CONSEJO DISTRITAL DE POLÍTICA ECONOMICA Y SOCIAL</w:t>
                          </w:r>
                        </w:p>
                        <w:p w14:paraId="6A8E6202" w14:textId="77777777" w:rsidR="007C3E91" w:rsidRPr="000E6B3D" w:rsidRDefault="007C3E91" w:rsidP="007C3E91">
                          <w:pPr>
                            <w:pStyle w:val="Ttulo1"/>
                            <w:spacing w:before="0"/>
                            <w:rPr>
                              <w:rFonts w:ascii="Arial Nova Light" w:eastAsia="Arial" w:hAnsi="Arial Nova Light" w:cs="Arial"/>
                              <w:color w:val="000000" w:themeColor="text1"/>
                              <w:sz w:val="20"/>
                              <w:szCs w:val="20"/>
                            </w:rPr>
                          </w:pPr>
                          <w:r w:rsidRPr="000E6B3D">
                            <w:rPr>
                              <w:rFonts w:ascii="Arial Nova Light" w:eastAsia="Arial" w:hAnsi="Arial Nova Light" w:cs="Arial"/>
                              <w:color w:val="000000" w:themeColor="text1"/>
                              <w:sz w:val="20"/>
                              <w:szCs w:val="20"/>
                            </w:rPr>
                            <w:t>CONPES D.C.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shapetype id="_x0000_t202" coordsize="21600,21600" o:spt="202" path="m,l,21600r21600,l21600,xe" w14:anchorId="39C1F888">
              <v:stroke joinstyle="miter"/>
              <v:path gradientshapeok="t" o:connecttype="rect"/>
            </v:shapetype>
            <v:shape id="Cuadro de texto 3" style="position:absolute;left:0;text-align:left;margin-left:154pt;margin-top:5.4pt;width:205.2pt;height:33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">
              <v:textbox>
                <w:txbxContent>
                  <w:p w:rsidRPr="000E6B3D" w:rsidR="007C3E91" w:rsidP="007C3E91" w:rsidRDefault="007C3E91" w14:paraId="7425D5F7" w14:textId="06339867">
                    <w:pPr>
                      <w:pStyle w:val="Ttulo1"/>
                      <w:spacing w:before="0"/>
                      <w:rPr>
                        <w:rFonts w:ascii="Arial Nova Light" w:hAnsi="Arial Nova Light" w:eastAsia="Arial" w:cs="Arial"/>
                        <w:color w:val="000000" w:themeColor="text1"/>
                        <w:sz w:val="14"/>
                        <w:szCs w:val="14"/>
                      </w:rPr>
                    </w:pPr>
                    <w:r w:rsidRPr="000E6B3D">
                      <w:rPr>
                        <w:rFonts w:ascii="Arial Nova Light" w:hAnsi="Arial Nova Light" w:eastAsia="Arial" w:cs="Arial"/>
                        <w:color w:val="000000" w:themeColor="text1"/>
                        <w:sz w:val="14"/>
                        <w:szCs w:val="14"/>
                      </w:rPr>
                      <w:t>CONSEJO DISTRITAL DE POLÍTICA ECONOMICA Y SOCIAL</w:t>
                    </w:r>
                  </w:p>
                  <w:p w:rsidRPr="000E6B3D" w:rsidR="007C3E91" w:rsidP="007C3E91" w:rsidRDefault="007C3E91" w14:paraId="6A8E6202" w14:textId="77777777">
                    <w:pPr>
                      <w:pStyle w:val="Ttulo1"/>
                      <w:spacing w:before="0"/>
                      <w:rPr>
                        <w:rFonts w:ascii="Arial Nova Light" w:hAnsi="Arial Nova Light" w:eastAsia="Arial" w:cs="Arial"/>
                        <w:color w:val="000000" w:themeColor="text1"/>
                        <w:sz w:val="20"/>
                        <w:szCs w:val="20"/>
                      </w:rPr>
                    </w:pPr>
                    <w:r w:rsidRPr="000E6B3D">
                      <w:rPr>
                        <w:rFonts w:ascii="Arial Nova Light" w:hAnsi="Arial Nova Light" w:eastAsia="Arial" w:cs="Arial"/>
                        <w:color w:val="000000" w:themeColor="text1"/>
                        <w:sz w:val="20"/>
                        <w:szCs w:val="20"/>
                      </w:rPr>
                      <w:t>CONPES D.C.</w:t>
                    </w:r>
                  </w:p>
                </w:txbxContent>
              </v:textbox>
              <w10:wrap type="square"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81694"/>
    <w:multiLevelType w:val="hybridMultilevel"/>
    <w:tmpl w:val="A8E6F090"/>
    <w:lvl w:ilvl="0" w:tplc="C1DA5018">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22157C3"/>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25762D5"/>
    <w:multiLevelType w:val="hybridMultilevel"/>
    <w:tmpl w:val="88B633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7284330"/>
    <w:multiLevelType w:val="hybridMultilevel"/>
    <w:tmpl w:val="A704EB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BE9258F"/>
    <w:multiLevelType w:val="hybridMultilevel"/>
    <w:tmpl w:val="17907338"/>
    <w:lvl w:ilvl="0" w:tplc="341EBB54">
      <w:numFmt w:val="bullet"/>
      <w:lvlText w:val="•"/>
      <w:lvlJc w:val="left"/>
      <w:pPr>
        <w:ind w:left="720" w:hanging="360"/>
      </w:pPr>
      <w:rPr>
        <w:rFonts w:hint="default"/>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6D47DCC"/>
    <w:multiLevelType w:val="hybridMultilevel"/>
    <w:tmpl w:val="7EA625C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CE948D1"/>
    <w:multiLevelType w:val="hybridMultilevel"/>
    <w:tmpl w:val="6A666A64"/>
    <w:lvl w:ilvl="0" w:tplc="C1DA5018">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110115D"/>
    <w:multiLevelType w:val="hybridMultilevel"/>
    <w:tmpl w:val="BE08C9A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1CD5ED9"/>
    <w:multiLevelType w:val="hybridMultilevel"/>
    <w:tmpl w:val="D1B6E1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BA21AEB"/>
    <w:multiLevelType w:val="hybridMultilevel"/>
    <w:tmpl w:val="A620B564"/>
    <w:lvl w:ilvl="0" w:tplc="C1DA5018">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D92649A"/>
    <w:multiLevelType w:val="hybridMultilevel"/>
    <w:tmpl w:val="6430E6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EDE3F01"/>
    <w:multiLevelType w:val="hybridMultilevel"/>
    <w:tmpl w:val="B2060556"/>
    <w:lvl w:ilvl="0" w:tplc="240A0001">
      <w:start w:val="1"/>
      <w:numFmt w:val="bullet"/>
      <w:lvlText w:val=""/>
      <w:lvlJc w:val="left"/>
      <w:pPr>
        <w:ind w:left="720" w:hanging="360"/>
      </w:pPr>
      <w:rPr>
        <w:rFonts w:ascii="Symbol" w:hAnsi="Symbol" w:cs="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30F98A0E"/>
    <w:multiLevelType w:val="hybridMultilevel"/>
    <w:tmpl w:val="EBA49BC8"/>
    <w:lvl w:ilvl="0" w:tplc="E57EB762">
      <w:start w:val="1"/>
      <w:numFmt w:val="bullet"/>
      <w:lvlText w:val=""/>
      <w:lvlJc w:val="left"/>
      <w:pPr>
        <w:ind w:left="720" w:hanging="360"/>
      </w:pPr>
      <w:rPr>
        <w:rFonts w:ascii="Symbol" w:hAnsi="Symbol" w:hint="default"/>
      </w:rPr>
    </w:lvl>
    <w:lvl w:ilvl="1" w:tplc="B5F030C6">
      <w:start w:val="1"/>
      <w:numFmt w:val="bullet"/>
      <w:lvlText w:val="o"/>
      <w:lvlJc w:val="left"/>
      <w:pPr>
        <w:ind w:left="1440" w:hanging="360"/>
      </w:pPr>
      <w:rPr>
        <w:rFonts w:ascii="Courier New" w:hAnsi="Courier New" w:hint="default"/>
      </w:rPr>
    </w:lvl>
    <w:lvl w:ilvl="2" w:tplc="9F62E45A">
      <w:start w:val="1"/>
      <w:numFmt w:val="bullet"/>
      <w:lvlText w:val=""/>
      <w:lvlJc w:val="left"/>
      <w:pPr>
        <w:ind w:left="2160" w:hanging="360"/>
      </w:pPr>
      <w:rPr>
        <w:rFonts w:ascii="Wingdings" w:hAnsi="Wingdings" w:hint="default"/>
      </w:rPr>
    </w:lvl>
    <w:lvl w:ilvl="3" w:tplc="F55E9BFA">
      <w:start w:val="1"/>
      <w:numFmt w:val="bullet"/>
      <w:lvlText w:val=""/>
      <w:lvlJc w:val="left"/>
      <w:pPr>
        <w:ind w:left="2880" w:hanging="360"/>
      </w:pPr>
      <w:rPr>
        <w:rFonts w:ascii="Symbol" w:hAnsi="Symbol" w:hint="default"/>
      </w:rPr>
    </w:lvl>
    <w:lvl w:ilvl="4" w:tplc="3BA0DE88">
      <w:start w:val="1"/>
      <w:numFmt w:val="bullet"/>
      <w:lvlText w:val="o"/>
      <w:lvlJc w:val="left"/>
      <w:pPr>
        <w:ind w:left="3600" w:hanging="360"/>
      </w:pPr>
      <w:rPr>
        <w:rFonts w:ascii="Courier New" w:hAnsi="Courier New" w:hint="default"/>
      </w:rPr>
    </w:lvl>
    <w:lvl w:ilvl="5" w:tplc="AAAAC1D0">
      <w:start w:val="1"/>
      <w:numFmt w:val="bullet"/>
      <w:lvlText w:val=""/>
      <w:lvlJc w:val="left"/>
      <w:pPr>
        <w:ind w:left="4320" w:hanging="360"/>
      </w:pPr>
      <w:rPr>
        <w:rFonts w:ascii="Wingdings" w:hAnsi="Wingdings" w:hint="default"/>
      </w:rPr>
    </w:lvl>
    <w:lvl w:ilvl="6" w:tplc="C826F948">
      <w:start w:val="1"/>
      <w:numFmt w:val="bullet"/>
      <w:lvlText w:val=""/>
      <w:lvlJc w:val="left"/>
      <w:pPr>
        <w:ind w:left="5040" w:hanging="360"/>
      </w:pPr>
      <w:rPr>
        <w:rFonts w:ascii="Symbol" w:hAnsi="Symbol" w:hint="default"/>
      </w:rPr>
    </w:lvl>
    <w:lvl w:ilvl="7" w:tplc="E112EF7C">
      <w:start w:val="1"/>
      <w:numFmt w:val="bullet"/>
      <w:lvlText w:val="o"/>
      <w:lvlJc w:val="left"/>
      <w:pPr>
        <w:ind w:left="5760" w:hanging="360"/>
      </w:pPr>
      <w:rPr>
        <w:rFonts w:ascii="Courier New" w:hAnsi="Courier New" w:hint="default"/>
      </w:rPr>
    </w:lvl>
    <w:lvl w:ilvl="8" w:tplc="2B7229F2">
      <w:start w:val="1"/>
      <w:numFmt w:val="bullet"/>
      <w:lvlText w:val=""/>
      <w:lvlJc w:val="left"/>
      <w:pPr>
        <w:ind w:left="6480" w:hanging="360"/>
      </w:pPr>
      <w:rPr>
        <w:rFonts w:ascii="Wingdings" w:hAnsi="Wingdings" w:hint="default"/>
      </w:rPr>
    </w:lvl>
  </w:abstractNum>
  <w:abstractNum w:abstractNumId="13" w15:restartNumberingAfterBreak="0">
    <w:nsid w:val="32036917"/>
    <w:multiLevelType w:val="hybridMultilevel"/>
    <w:tmpl w:val="E5A2059C"/>
    <w:lvl w:ilvl="0" w:tplc="C1DA5018">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6E35DE9"/>
    <w:multiLevelType w:val="hybridMultilevel"/>
    <w:tmpl w:val="5F1C5180"/>
    <w:lvl w:ilvl="0" w:tplc="938600F0">
      <w:numFmt w:val="bullet"/>
      <w:lvlText w:val="•"/>
      <w:lvlJc w:val="left"/>
      <w:pPr>
        <w:ind w:left="720" w:hanging="360"/>
      </w:pPr>
      <w:rPr>
        <w:rFonts w:ascii="Arial" w:eastAsia="Arial" w:hAnsi="Arial" w:cs="Arial" w:hint="default"/>
        <w:sz w:val="22"/>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BEB6BC8"/>
    <w:multiLevelType w:val="hybridMultilevel"/>
    <w:tmpl w:val="66E265E0"/>
    <w:lvl w:ilvl="0" w:tplc="938600F0">
      <w:numFmt w:val="bullet"/>
      <w:lvlText w:val="•"/>
      <w:lvlJc w:val="left"/>
      <w:pPr>
        <w:ind w:left="720" w:hanging="360"/>
      </w:pPr>
      <w:rPr>
        <w:rFonts w:ascii="Arial" w:eastAsia="Arial" w:hAnsi="Arial" w:cs="Arial" w:hint="default"/>
        <w:sz w:val="22"/>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C4563AA"/>
    <w:multiLevelType w:val="hybridMultilevel"/>
    <w:tmpl w:val="7A22DA58"/>
    <w:lvl w:ilvl="0" w:tplc="938600F0">
      <w:numFmt w:val="bullet"/>
      <w:lvlText w:val="•"/>
      <w:lvlJc w:val="left"/>
      <w:pPr>
        <w:ind w:left="720" w:hanging="360"/>
      </w:pPr>
      <w:rPr>
        <w:rFonts w:ascii="Arial" w:eastAsia="Arial" w:hAnsi="Arial" w:cs="Arial" w:hint="default"/>
        <w:sz w:val="22"/>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3FA6123A"/>
    <w:multiLevelType w:val="hybridMultilevel"/>
    <w:tmpl w:val="ED0EE7C2"/>
    <w:lvl w:ilvl="0" w:tplc="E57EB762">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4269695F"/>
    <w:multiLevelType w:val="hybridMultilevel"/>
    <w:tmpl w:val="B2E0C928"/>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44DA1192"/>
    <w:multiLevelType w:val="multilevel"/>
    <w:tmpl w:val="7C483C06"/>
    <w:lvl w:ilvl="0">
      <w:start w:val="1"/>
      <w:numFmt w:val="bullet"/>
      <w:lvlText w:val="●"/>
      <w:lvlJc w:val="left"/>
      <w:pPr>
        <w:ind w:left="360" w:hanging="360"/>
      </w:pPr>
      <w:rPr>
        <w:rFonts w:ascii="Noto Sans Symbols" w:eastAsia="Noto Sans Symbols" w:hAnsi="Noto Sans Symbols" w:cs="Noto Sans Symbols"/>
        <w:sz w:val="20"/>
        <w:szCs w:val="20"/>
      </w:rPr>
    </w:lvl>
    <w:lvl w:ilvl="1">
      <w:start w:val="1"/>
      <w:numFmt w:val="decimal"/>
      <w:lvlText w:val="%2."/>
      <w:lvlJc w:val="left"/>
      <w:pPr>
        <w:ind w:left="1080" w:hanging="360"/>
      </w:pPr>
      <w:rPr>
        <w:b/>
        <w:i w:val="0"/>
      </w:r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48FC3CA1"/>
    <w:multiLevelType w:val="hybridMultilevel"/>
    <w:tmpl w:val="7360C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E53792D"/>
    <w:multiLevelType w:val="hybridMultilevel"/>
    <w:tmpl w:val="1AD49E26"/>
    <w:lvl w:ilvl="0" w:tplc="C1DA5018">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4F536E23"/>
    <w:multiLevelType w:val="hybridMultilevel"/>
    <w:tmpl w:val="1696FB0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04D688B"/>
    <w:multiLevelType w:val="hybridMultilevel"/>
    <w:tmpl w:val="E58A657C"/>
    <w:lvl w:ilvl="0" w:tplc="C1DA5018">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5215249A"/>
    <w:multiLevelType w:val="hybridMultilevel"/>
    <w:tmpl w:val="E27AFE40"/>
    <w:lvl w:ilvl="0" w:tplc="C1DA5018">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5721426A"/>
    <w:multiLevelType w:val="hybridMultilevel"/>
    <w:tmpl w:val="40404F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5A5B0C60"/>
    <w:multiLevelType w:val="hybridMultilevel"/>
    <w:tmpl w:val="FD9A9E9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5D28218D"/>
    <w:multiLevelType w:val="hybridMultilevel"/>
    <w:tmpl w:val="BB1E1BBC"/>
    <w:lvl w:ilvl="0" w:tplc="938600F0">
      <w:numFmt w:val="bullet"/>
      <w:lvlText w:val="•"/>
      <w:lvlJc w:val="left"/>
      <w:pPr>
        <w:ind w:left="720" w:hanging="360"/>
      </w:pPr>
      <w:rPr>
        <w:rFonts w:ascii="Arial" w:eastAsia="Arial" w:hAnsi="Arial" w:cs="Arial" w:hint="default"/>
        <w:sz w:val="22"/>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6237194D"/>
    <w:multiLevelType w:val="hybridMultilevel"/>
    <w:tmpl w:val="B0B80942"/>
    <w:lvl w:ilvl="0" w:tplc="938600F0">
      <w:numFmt w:val="bullet"/>
      <w:lvlText w:val="•"/>
      <w:lvlJc w:val="left"/>
      <w:pPr>
        <w:ind w:left="720" w:hanging="360"/>
      </w:pPr>
      <w:rPr>
        <w:rFonts w:ascii="Arial" w:eastAsia="Arial" w:hAnsi="Arial" w:cs="Arial" w:hint="default"/>
        <w:sz w:val="22"/>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688E5ED8"/>
    <w:multiLevelType w:val="hybridMultilevel"/>
    <w:tmpl w:val="41048E72"/>
    <w:lvl w:ilvl="0" w:tplc="240A000F">
      <w:start w:val="1"/>
      <w:numFmt w:val="decimal"/>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30" w15:restartNumberingAfterBreak="0">
    <w:nsid w:val="6CCC1DBA"/>
    <w:multiLevelType w:val="hybridMultilevel"/>
    <w:tmpl w:val="306609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6D260E72"/>
    <w:multiLevelType w:val="hybridMultilevel"/>
    <w:tmpl w:val="AB1826C8"/>
    <w:lvl w:ilvl="0" w:tplc="C1DA5018">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6E354746"/>
    <w:multiLevelType w:val="hybridMultilevel"/>
    <w:tmpl w:val="29CA84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6EC13C32"/>
    <w:multiLevelType w:val="hybridMultilevel"/>
    <w:tmpl w:val="397CB630"/>
    <w:lvl w:ilvl="0" w:tplc="C1DA5018">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71E246FD"/>
    <w:multiLevelType w:val="multilevel"/>
    <w:tmpl w:val="28BAEAC2"/>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72031F8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3D7B93"/>
    <w:multiLevelType w:val="hybridMultilevel"/>
    <w:tmpl w:val="B2E0C928"/>
    <w:lvl w:ilvl="0" w:tplc="A914DBA4">
      <w:start w:val="1"/>
      <w:numFmt w:val="lowerLetter"/>
      <w:lvlText w:val="%1)"/>
      <w:lvlJc w:val="left"/>
      <w:pPr>
        <w:ind w:left="644" w:hanging="36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37" w15:restartNumberingAfterBreak="0">
    <w:nsid w:val="75602B94"/>
    <w:multiLevelType w:val="hybridMultilevel"/>
    <w:tmpl w:val="17BE1E5E"/>
    <w:lvl w:ilvl="0" w:tplc="C1DA5018">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76697A52"/>
    <w:multiLevelType w:val="hybridMultilevel"/>
    <w:tmpl w:val="979246FA"/>
    <w:lvl w:ilvl="0" w:tplc="30FA3974">
      <w:numFmt w:val="bullet"/>
      <w:lvlText w:val="-"/>
      <w:lvlJc w:val="left"/>
      <w:pPr>
        <w:ind w:left="720" w:hanging="360"/>
      </w:pPr>
      <w:rPr>
        <w:rFonts w:ascii="Arial" w:eastAsiaTheme="majorEastAsia"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7845536A"/>
    <w:multiLevelType w:val="hybridMultilevel"/>
    <w:tmpl w:val="C5B89BDE"/>
    <w:lvl w:ilvl="0" w:tplc="C1DA5018">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7E6E08C8"/>
    <w:multiLevelType w:val="hybridMultilevel"/>
    <w:tmpl w:val="2C786890"/>
    <w:lvl w:ilvl="0" w:tplc="C1DA5018">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957062491">
    <w:abstractNumId w:val="12"/>
  </w:num>
  <w:num w:numId="2" w16cid:durableId="1155998701">
    <w:abstractNumId w:val="19"/>
  </w:num>
  <w:num w:numId="3" w16cid:durableId="1178152937">
    <w:abstractNumId w:val="4"/>
  </w:num>
  <w:num w:numId="4" w16cid:durableId="656804857">
    <w:abstractNumId w:val="11"/>
  </w:num>
  <w:num w:numId="5" w16cid:durableId="1989894047">
    <w:abstractNumId w:val="36"/>
  </w:num>
  <w:num w:numId="6" w16cid:durableId="640890560">
    <w:abstractNumId w:val="25"/>
  </w:num>
  <w:num w:numId="7" w16cid:durableId="339477805">
    <w:abstractNumId w:val="7"/>
  </w:num>
  <w:num w:numId="8" w16cid:durableId="1040781776">
    <w:abstractNumId w:val="5"/>
  </w:num>
  <w:num w:numId="9" w16cid:durableId="971639839">
    <w:abstractNumId w:val="30"/>
  </w:num>
  <w:num w:numId="10" w16cid:durableId="1887640951">
    <w:abstractNumId w:val="29"/>
  </w:num>
  <w:num w:numId="11" w16cid:durableId="1911883275">
    <w:abstractNumId w:val="40"/>
  </w:num>
  <w:num w:numId="12" w16cid:durableId="339434136">
    <w:abstractNumId w:val="0"/>
  </w:num>
  <w:num w:numId="13" w16cid:durableId="2111923933">
    <w:abstractNumId w:val="24"/>
  </w:num>
  <w:num w:numId="14" w16cid:durableId="2121562222">
    <w:abstractNumId w:val="3"/>
  </w:num>
  <w:num w:numId="15" w16cid:durableId="1899511379">
    <w:abstractNumId w:val="21"/>
  </w:num>
  <w:num w:numId="16" w16cid:durableId="1009523878">
    <w:abstractNumId w:val="22"/>
  </w:num>
  <w:num w:numId="17" w16cid:durableId="2110659460">
    <w:abstractNumId w:val="2"/>
  </w:num>
  <w:num w:numId="18" w16cid:durableId="1153789950">
    <w:abstractNumId w:val="32"/>
  </w:num>
  <w:num w:numId="19" w16cid:durableId="771097462">
    <w:abstractNumId w:val="23"/>
  </w:num>
  <w:num w:numId="20" w16cid:durableId="1759405825">
    <w:abstractNumId w:val="31"/>
  </w:num>
  <w:num w:numId="21" w16cid:durableId="176425491">
    <w:abstractNumId w:val="9"/>
  </w:num>
  <w:num w:numId="22" w16cid:durableId="883102997">
    <w:abstractNumId w:val="10"/>
  </w:num>
  <w:num w:numId="23" w16cid:durableId="1329944879">
    <w:abstractNumId w:val="39"/>
  </w:num>
  <w:num w:numId="24" w16cid:durableId="376517481">
    <w:abstractNumId w:val="13"/>
  </w:num>
  <w:num w:numId="25" w16cid:durableId="747194419">
    <w:abstractNumId w:val="37"/>
  </w:num>
  <w:num w:numId="26" w16cid:durableId="535506088">
    <w:abstractNumId w:val="33"/>
  </w:num>
  <w:num w:numId="27" w16cid:durableId="1480263481">
    <w:abstractNumId w:val="6"/>
  </w:num>
  <w:num w:numId="28" w16cid:durableId="1041326312">
    <w:abstractNumId w:val="20"/>
  </w:num>
  <w:num w:numId="29" w16cid:durableId="312296981">
    <w:abstractNumId w:val="18"/>
  </w:num>
  <w:num w:numId="30" w16cid:durableId="1456943028">
    <w:abstractNumId w:val="38"/>
  </w:num>
  <w:num w:numId="31" w16cid:durableId="1357195279">
    <w:abstractNumId w:val="34"/>
  </w:num>
  <w:num w:numId="32" w16cid:durableId="131362919">
    <w:abstractNumId w:val="17"/>
  </w:num>
  <w:num w:numId="33" w16cid:durableId="451096603">
    <w:abstractNumId w:val="26"/>
  </w:num>
  <w:num w:numId="34" w16cid:durableId="1308628321">
    <w:abstractNumId w:val="1"/>
  </w:num>
  <w:num w:numId="35" w16cid:durableId="1649744247">
    <w:abstractNumId w:val="35"/>
  </w:num>
  <w:num w:numId="36" w16cid:durableId="1438477970">
    <w:abstractNumId w:val="8"/>
  </w:num>
  <w:num w:numId="37" w16cid:durableId="592322947">
    <w:abstractNumId w:val="14"/>
  </w:num>
  <w:num w:numId="38" w16cid:durableId="2127893076">
    <w:abstractNumId w:val="27"/>
  </w:num>
  <w:num w:numId="39" w16cid:durableId="436295390">
    <w:abstractNumId w:val="16"/>
  </w:num>
  <w:num w:numId="40" w16cid:durableId="836112182">
    <w:abstractNumId w:val="15"/>
  </w:num>
  <w:num w:numId="41" w16cid:durableId="174791609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A00"/>
    <w:rsid w:val="00005957"/>
    <w:rsid w:val="000203D9"/>
    <w:rsid w:val="00021278"/>
    <w:rsid w:val="00021C50"/>
    <w:rsid w:val="00025AA9"/>
    <w:rsid w:val="000311DF"/>
    <w:rsid w:val="00032EF4"/>
    <w:rsid w:val="000535B1"/>
    <w:rsid w:val="00060E9A"/>
    <w:rsid w:val="000627CC"/>
    <w:rsid w:val="00075D58"/>
    <w:rsid w:val="00076431"/>
    <w:rsid w:val="000770C9"/>
    <w:rsid w:val="00080C90"/>
    <w:rsid w:val="000828F8"/>
    <w:rsid w:val="00084563"/>
    <w:rsid w:val="00087E41"/>
    <w:rsid w:val="000907F1"/>
    <w:rsid w:val="00091942"/>
    <w:rsid w:val="000A5F69"/>
    <w:rsid w:val="000B4609"/>
    <w:rsid w:val="000B7D9C"/>
    <w:rsid w:val="000C1463"/>
    <w:rsid w:val="000C6ABC"/>
    <w:rsid w:val="000D3FAC"/>
    <w:rsid w:val="000D6B35"/>
    <w:rsid w:val="000E6A9D"/>
    <w:rsid w:val="000E6B3D"/>
    <w:rsid w:val="000F0D18"/>
    <w:rsid w:val="000F1467"/>
    <w:rsid w:val="000F1C72"/>
    <w:rsid w:val="000F4C42"/>
    <w:rsid w:val="00100539"/>
    <w:rsid w:val="00100AB3"/>
    <w:rsid w:val="00105D4A"/>
    <w:rsid w:val="00122B8E"/>
    <w:rsid w:val="00122CEB"/>
    <w:rsid w:val="001262C5"/>
    <w:rsid w:val="00127877"/>
    <w:rsid w:val="001319AC"/>
    <w:rsid w:val="00135593"/>
    <w:rsid w:val="00135F07"/>
    <w:rsid w:val="001400B5"/>
    <w:rsid w:val="00145EE7"/>
    <w:rsid w:val="001469D7"/>
    <w:rsid w:val="001524DD"/>
    <w:rsid w:val="00155A2D"/>
    <w:rsid w:val="00155AEC"/>
    <w:rsid w:val="00157932"/>
    <w:rsid w:val="00163374"/>
    <w:rsid w:val="00164836"/>
    <w:rsid w:val="00175314"/>
    <w:rsid w:val="00177ADF"/>
    <w:rsid w:val="0019121A"/>
    <w:rsid w:val="001A6A23"/>
    <w:rsid w:val="001B4461"/>
    <w:rsid w:val="001B775F"/>
    <w:rsid w:val="001C14B6"/>
    <w:rsid w:val="001C1681"/>
    <w:rsid w:val="001D280F"/>
    <w:rsid w:val="002000ED"/>
    <w:rsid w:val="00202B07"/>
    <w:rsid w:val="0021362A"/>
    <w:rsid w:val="002303D7"/>
    <w:rsid w:val="00234B35"/>
    <w:rsid w:val="00237C3D"/>
    <w:rsid w:val="00250551"/>
    <w:rsid w:val="00257B7B"/>
    <w:rsid w:val="00281F7E"/>
    <w:rsid w:val="0029718B"/>
    <w:rsid w:val="00297AA8"/>
    <w:rsid w:val="002A1885"/>
    <w:rsid w:val="002A6713"/>
    <w:rsid w:val="002A7E09"/>
    <w:rsid w:val="002B04DD"/>
    <w:rsid w:val="002B2454"/>
    <w:rsid w:val="002B4F52"/>
    <w:rsid w:val="002D05C6"/>
    <w:rsid w:val="002D0CBB"/>
    <w:rsid w:val="002D69FA"/>
    <w:rsid w:val="002E0B00"/>
    <w:rsid w:val="002E47F9"/>
    <w:rsid w:val="002E569A"/>
    <w:rsid w:val="002F140B"/>
    <w:rsid w:val="002F1801"/>
    <w:rsid w:val="00302CEB"/>
    <w:rsid w:val="00306868"/>
    <w:rsid w:val="00306DFF"/>
    <w:rsid w:val="0031631A"/>
    <w:rsid w:val="00327C3F"/>
    <w:rsid w:val="0033332B"/>
    <w:rsid w:val="00335B93"/>
    <w:rsid w:val="00347110"/>
    <w:rsid w:val="00352AF9"/>
    <w:rsid w:val="0037083D"/>
    <w:rsid w:val="00385F51"/>
    <w:rsid w:val="0039175C"/>
    <w:rsid w:val="00392E2D"/>
    <w:rsid w:val="003A1604"/>
    <w:rsid w:val="003A21C3"/>
    <w:rsid w:val="003B12C0"/>
    <w:rsid w:val="003C0A40"/>
    <w:rsid w:val="003E10AA"/>
    <w:rsid w:val="003E3AC4"/>
    <w:rsid w:val="003F20FE"/>
    <w:rsid w:val="003F74CB"/>
    <w:rsid w:val="003FFB98"/>
    <w:rsid w:val="00404D13"/>
    <w:rsid w:val="00405273"/>
    <w:rsid w:val="00421D7A"/>
    <w:rsid w:val="00423257"/>
    <w:rsid w:val="0043316A"/>
    <w:rsid w:val="0044BF72"/>
    <w:rsid w:val="0045212D"/>
    <w:rsid w:val="00456F91"/>
    <w:rsid w:val="00464230"/>
    <w:rsid w:val="0047723C"/>
    <w:rsid w:val="00477936"/>
    <w:rsid w:val="004805ED"/>
    <w:rsid w:val="00485C6F"/>
    <w:rsid w:val="0048FBE7"/>
    <w:rsid w:val="004925DE"/>
    <w:rsid w:val="004A6081"/>
    <w:rsid w:val="004B283F"/>
    <w:rsid w:val="004C4109"/>
    <w:rsid w:val="004F0FA3"/>
    <w:rsid w:val="0051267F"/>
    <w:rsid w:val="00522E1E"/>
    <w:rsid w:val="00525160"/>
    <w:rsid w:val="005267C7"/>
    <w:rsid w:val="00536728"/>
    <w:rsid w:val="00547B2A"/>
    <w:rsid w:val="00551E41"/>
    <w:rsid w:val="00562BE2"/>
    <w:rsid w:val="00567341"/>
    <w:rsid w:val="00570C65"/>
    <w:rsid w:val="00580E89"/>
    <w:rsid w:val="005869C2"/>
    <w:rsid w:val="00586A55"/>
    <w:rsid w:val="00586CE9"/>
    <w:rsid w:val="00587F26"/>
    <w:rsid w:val="00590C58"/>
    <w:rsid w:val="005A75E4"/>
    <w:rsid w:val="005D03DA"/>
    <w:rsid w:val="005D1655"/>
    <w:rsid w:val="005D25D4"/>
    <w:rsid w:val="005D3D84"/>
    <w:rsid w:val="005E2AE8"/>
    <w:rsid w:val="005E35FF"/>
    <w:rsid w:val="005F4200"/>
    <w:rsid w:val="005F7E9D"/>
    <w:rsid w:val="0060010F"/>
    <w:rsid w:val="00625E93"/>
    <w:rsid w:val="0064242B"/>
    <w:rsid w:val="00643572"/>
    <w:rsid w:val="0065041D"/>
    <w:rsid w:val="006607FD"/>
    <w:rsid w:val="00661E14"/>
    <w:rsid w:val="00664E45"/>
    <w:rsid w:val="006650D6"/>
    <w:rsid w:val="00666F46"/>
    <w:rsid w:val="00667E5C"/>
    <w:rsid w:val="006734CE"/>
    <w:rsid w:val="00676CF1"/>
    <w:rsid w:val="00686907"/>
    <w:rsid w:val="00687929"/>
    <w:rsid w:val="006A3EDC"/>
    <w:rsid w:val="006A4BB3"/>
    <w:rsid w:val="006B4F55"/>
    <w:rsid w:val="006C1B47"/>
    <w:rsid w:val="006C419E"/>
    <w:rsid w:val="006D4ED7"/>
    <w:rsid w:val="006D71AF"/>
    <w:rsid w:val="006D85E2"/>
    <w:rsid w:val="006E2391"/>
    <w:rsid w:val="006F21D7"/>
    <w:rsid w:val="006F3237"/>
    <w:rsid w:val="006F5393"/>
    <w:rsid w:val="006F59FA"/>
    <w:rsid w:val="006F657D"/>
    <w:rsid w:val="006F7E35"/>
    <w:rsid w:val="007051A3"/>
    <w:rsid w:val="00712A87"/>
    <w:rsid w:val="007219A8"/>
    <w:rsid w:val="00723F2A"/>
    <w:rsid w:val="00725A51"/>
    <w:rsid w:val="007633FD"/>
    <w:rsid w:val="00763C72"/>
    <w:rsid w:val="00770669"/>
    <w:rsid w:val="0077302F"/>
    <w:rsid w:val="007834ED"/>
    <w:rsid w:val="00784385"/>
    <w:rsid w:val="007921EF"/>
    <w:rsid w:val="00793D03"/>
    <w:rsid w:val="007A2424"/>
    <w:rsid w:val="007A48AC"/>
    <w:rsid w:val="007B3084"/>
    <w:rsid w:val="007B3D4A"/>
    <w:rsid w:val="007B472D"/>
    <w:rsid w:val="007C3E91"/>
    <w:rsid w:val="007C48F2"/>
    <w:rsid w:val="007D7162"/>
    <w:rsid w:val="007E49E8"/>
    <w:rsid w:val="007E7B4A"/>
    <w:rsid w:val="007F7317"/>
    <w:rsid w:val="00800FC2"/>
    <w:rsid w:val="00811590"/>
    <w:rsid w:val="00811C4D"/>
    <w:rsid w:val="00813580"/>
    <w:rsid w:val="00826442"/>
    <w:rsid w:val="00827175"/>
    <w:rsid w:val="00842B56"/>
    <w:rsid w:val="00846CDC"/>
    <w:rsid w:val="008548B0"/>
    <w:rsid w:val="00854A33"/>
    <w:rsid w:val="00857465"/>
    <w:rsid w:val="00860DEB"/>
    <w:rsid w:val="00871FCB"/>
    <w:rsid w:val="00872830"/>
    <w:rsid w:val="0088183A"/>
    <w:rsid w:val="00892A88"/>
    <w:rsid w:val="00896AF5"/>
    <w:rsid w:val="008A311D"/>
    <w:rsid w:val="008A436B"/>
    <w:rsid w:val="008A5537"/>
    <w:rsid w:val="008B3306"/>
    <w:rsid w:val="008B793E"/>
    <w:rsid w:val="008C6DC9"/>
    <w:rsid w:val="008D0DEF"/>
    <w:rsid w:val="008D1C3E"/>
    <w:rsid w:val="008E1C48"/>
    <w:rsid w:val="008F0A38"/>
    <w:rsid w:val="008F774E"/>
    <w:rsid w:val="0090084C"/>
    <w:rsid w:val="00906A6D"/>
    <w:rsid w:val="00906C7E"/>
    <w:rsid w:val="00910947"/>
    <w:rsid w:val="00914173"/>
    <w:rsid w:val="009205EC"/>
    <w:rsid w:val="00930820"/>
    <w:rsid w:val="009359B5"/>
    <w:rsid w:val="00937C5D"/>
    <w:rsid w:val="00940421"/>
    <w:rsid w:val="00943029"/>
    <w:rsid w:val="00944F35"/>
    <w:rsid w:val="009453EF"/>
    <w:rsid w:val="009472F6"/>
    <w:rsid w:val="00947C66"/>
    <w:rsid w:val="0095027B"/>
    <w:rsid w:val="00974865"/>
    <w:rsid w:val="00974B06"/>
    <w:rsid w:val="00981774"/>
    <w:rsid w:val="00993912"/>
    <w:rsid w:val="009A6333"/>
    <w:rsid w:val="009B3155"/>
    <w:rsid w:val="009B3AE0"/>
    <w:rsid w:val="009B728A"/>
    <w:rsid w:val="009C6D7E"/>
    <w:rsid w:val="009E6651"/>
    <w:rsid w:val="009E69E0"/>
    <w:rsid w:val="00A01D5A"/>
    <w:rsid w:val="00A03DDB"/>
    <w:rsid w:val="00A122ED"/>
    <w:rsid w:val="00A13ADF"/>
    <w:rsid w:val="00A253A7"/>
    <w:rsid w:val="00A409A4"/>
    <w:rsid w:val="00A40EE1"/>
    <w:rsid w:val="00A415E0"/>
    <w:rsid w:val="00A42964"/>
    <w:rsid w:val="00A452C0"/>
    <w:rsid w:val="00A45DE7"/>
    <w:rsid w:val="00A45F90"/>
    <w:rsid w:val="00A50DE0"/>
    <w:rsid w:val="00A54A0B"/>
    <w:rsid w:val="00A55B93"/>
    <w:rsid w:val="00A57C5C"/>
    <w:rsid w:val="00A63F77"/>
    <w:rsid w:val="00A81937"/>
    <w:rsid w:val="00A93F46"/>
    <w:rsid w:val="00A96C1F"/>
    <w:rsid w:val="00AA0E74"/>
    <w:rsid w:val="00AA6BF1"/>
    <w:rsid w:val="00AB1598"/>
    <w:rsid w:val="00AB1C0B"/>
    <w:rsid w:val="00AC0004"/>
    <w:rsid w:val="00AC60C6"/>
    <w:rsid w:val="00AD2323"/>
    <w:rsid w:val="00AF4E9D"/>
    <w:rsid w:val="00AF7864"/>
    <w:rsid w:val="00B01E5D"/>
    <w:rsid w:val="00B11393"/>
    <w:rsid w:val="00B12FCA"/>
    <w:rsid w:val="00B1352D"/>
    <w:rsid w:val="00B142BE"/>
    <w:rsid w:val="00B24EBF"/>
    <w:rsid w:val="00B27539"/>
    <w:rsid w:val="00B4064C"/>
    <w:rsid w:val="00B42806"/>
    <w:rsid w:val="00B45194"/>
    <w:rsid w:val="00B514D7"/>
    <w:rsid w:val="00B604DE"/>
    <w:rsid w:val="00B65572"/>
    <w:rsid w:val="00B677EA"/>
    <w:rsid w:val="00B70198"/>
    <w:rsid w:val="00B72AC3"/>
    <w:rsid w:val="00B75CD2"/>
    <w:rsid w:val="00B80DE4"/>
    <w:rsid w:val="00B95C47"/>
    <w:rsid w:val="00B9751C"/>
    <w:rsid w:val="00BA33BF"/>
    <w:rsid w:val="00BA4219"/>
    <w:rsid w:val="00BB0A0C"/>
    <w:rsid w:val="00BB334B"/>
    <w:rsid w:val="00BC5025"/>
    <w:rsid w:val="00BC7435"/>
    <w:rsid w:val="00BE1FE4"/>
    <w:rsid w:val="00BE2A14"/>
    <w:rsid w:val="00BE7E87"/>
    <w:rsid w:val="00C06C33"/>
    <w:rsid w:val="00C232ED"/>
    <w:rsid w:val="00C262C1"/>
    <w:rsid w:val="00C27862"/>
    <w:rsid w:val="00C34A13"/>
    <w:rsid w:val="00C40010"/>
    <w:rsid w:val="00C4175F"/>
    <w:rsid w:val="00C46882"/>
    <w:rsid w:val="00C50067"/>
    <w:rsid w:val="00C5657E"/>
    <w:rsid w:val="00C57D74"/>
    <w:rsid w:val="00C69852"/>
    <w:rsid w:val="00C81EC7"/>
    <w:rsid w:val="00CA7C82"/>
    <w:rsid w:val="00CB1AFA"/>
    <w:rsid w:val="00CB5F77"/>
    <w:rsid w:val="00CC235A"/>
    <w:rsid w:val="00CD23D8"/>
    <w:rsid w:val="00CD4267"/>
    <w:rsid w:val="00CE36E2"/>
    <w:rsid w:val="00CE40B4"/>
    <w:rsid w:val="00CE5F58"/>
    <w:rsid w:val="00CF1E79"/>
    <w:rsid w:val="00CF23FC"/>
    <w:rsid w:val="00D02F72"/>
    <w:rsid w:val="00D1333B"/>
    <w:rsid w:val="00D16131"/>
    <w:rsid w:val="00D17105"/>
    <w:rsid w:val="00D228E5"/>
    <w:rsid w:val="00D23397"/>
    <w:rsid w:val="00D41371"/>
    <w:rsid w:val="00D43C49"/>
    <w:rsid w:val="00D51C22"/>
    <w:rsid w:val="00D55120"/>
    <w:rsid w:val="00D60BD2"/>
    <w:rsid w:val="00D62B04"/>
    <w:rsid w:val="00D647DA"/>
    <w:rsid w:val="00D708D5"/>
    <w:rsid w:val="00D76EA5"/>
    <w:rsid w:val="00D81E1C"/>
    <w:rsid w:val="00D8400D"/>
    <w:rsid w:val="00DA343C"/>
    <w:rsid w:val="00DC317E"/>
    <w:rsid w:val="00DC58C4"/>
    <w:rsid w:val="00DC7809"/>
    <w:rsid w:val="00DD6867"/>
    <w:rsid w:val="00DF434C"/>
    <w:rsid w:val="00DF5407"/>
    <w:rsid w:val="00E06A09"/>
    <w:rsid w:val="00E13358"/>
    <w:rsid w:val="00E23AB5"/>
    <w:rsid w:val="00E25B8D"/>
    <w:rsid w:val="00E27C20"/>
    <w:rsid w:val="00E30A00"/>
    <w:rsid w:val="00E47B72"/>
    <w:rsid w:val="00E67E5E"/>
    <w:rsid w:val="00E85A63"/>
    <w:rsid w:val="00E86939"/>
    <w:rsid w:val="00E9249D"/>
    <w:rsid w:val="00EA0D5B"/>
    <w:rsid w:val="00EA189D"/>
    <w:rsid w:val="00EB0CF6"/>
    <w:rsid w:val="00EC312F"/>
    <w:rsid w:val="00EC3E82"/>
    <w:rsid w:val="00EC4FCF"/>
    <w:rsid w:val="00EC5B33"/>
    <w:rsid w:val="00ED7408"/>
    <w:rsid w:val="00ED7D58"/>
    <w:rsid w:val="00EE16C1"/>
    <w:rsid w:val="00EE3981"/>
    <w:rsid w:val="00EE71F0"/>
    <w:rsid w:val="00EF056B"/>
    <w:rsid w:val="00EF0D55"/>
    <w:rsid w:val="00EF481E"/>
    <w:rsid w:val="00EF5AFC"/>
    <w:rsid w:val="00F06860"/>
    <w:rsid w:val="00F11731"/>
    <w:rsid w:val="00F1275B"/>
    <w:rsid w:val="00F2216D"/>
    <w:rsid w:val="00F226AF"/>
    <w:rsid w:val="00F303BC"/>
    <w:rsid w:val="00F4561B"/>
    <w:rsid w:val="00F52005"/>
    <w:rsid w:val="00F609D9"/>
    <w:rsid w:val="00F6544F"/>
    <w:rsid w:val="00F830C2"/>
    <w:rsid w:val="00F90CD5"/>
    <w:rsid w:val="00F91223"/>
    <w:rsid w:val="00F93436"/>
    <w:rsid w:val="00FA1D2D"/>
    <w:rsid w:val="00FA38DB"/>
    <w:rsid w:val="00FA5036"/>
    <w:rsid w:val="00FA65F7"/>
    <w:rsid w:val="00FB2556"/>
    <w:rsid w:val="00FB75D8"/>
    <w:rsid w:val="00FC0B57"/>
    <w:rsid w:val="00FC16C3"/>
    <w:rsid w:val="00FC6AC4"/>
    <w:rsid w:val="00FD48B7"/>
    <w:rsid w:val="00FE615A"/>
    <w:rsid w:val="00FE7BC7"/>
    <w:rsid w:val="00FE7EBA"/>
    <w:rsid w:val="00FF0BB7"/>
    <w:rsid w:val="012D2007"/>
    <w:rsid w:val="01371B9D"/>
    <w:rsid w:val="014BB673"/>
    <w:rsid w:val="0151B9C4"/>
    <w:rsid w:val="016D0AFB"/>
    <w:rsid w:val="01959871"/>
    <w:rsid w:val="01C6E338"/>
    <w:rsid w:val="01D694E2"/>
    <w:rsid w:val="01DE6A20"/>
    <w:rsid w:val="01E5E68E"/>
    <w:rsid w:val="021924F3"/>
    <w:rsid w:val="022F25AC"/>
    <w:rsid w:val="02506B77"/>
    <w:rsid w:val="02AEAF51"/>
    <w:rsid w:val="02CA4F57"/>
    <w:rsid w:val="030C9AE5"/>
    <w:rsid w:val="0322C0B4"/>
    <w:rsid w:val="03453911"/>
    <w:rsid w:val="036DF677"/>
    <w:rsid w:val="03B675A8"/>
    <w:rsid w:val="04188365"/>
    <w:rsid w:val="046C2F75"/>
    <w:rsid w:val="04794651"/>
    <w:rsid w:val="04AE88BB"/>
    <w:rsid w:val="04C456C2"/>
    <w:rsid w:val="04E38F84"/>
    <w:rsid w:val="051032EA"/>
    <w:rsid w:val="0544A5E7"/>
    <w:rsid w:val="05BEDA83"/>
    <w:rsid w:val="06073C48"/>
    <w:rsid w:val="06383426"/>
    <w:rsid w:val="06E2BE06"/>
    <w:rsid w:val="07057FF2"/>
    <w:rsid w:val="07859358"/>
    <w:rsid w:val="07CAC2BF"/>
    <w:rsid w:val="07DA9ECA"/>
    <w:rsid w:val="07F214FC"/>
    <w:rsid w:val="08EADE91"/>
    <w:rsid w:val="0946DFD1"/>
    <w:rsid w:val="099D8DBD"/>
    <w:rsid w:val="09AC68C3"/>
    <w:rsid w:val="09B8F228"/>
    <w:rsid w:val="09D0175F"/>
    <w:rsid w:val="0A4F7EC8"/>
    <w:rsid w:val="0A52EE7D"/>
    <w:rsid w:val="0A601D34"/>
    <w:rsid w:val="0A745DC4"/>
    <w:rsid w:val="0A8E90BF"/>
    <w:rsid w:val="0AA0F3EB"/>
    <w:rsid w:val="0AA6F212"/>
    <w:rsid w:val="0ABD86BB"/>
    <w:rsid w:val="0AF76A01"/>
    <w:rsid w:val="0B32F2AE"/>
    <w:rsid w:val="0B5E9D1B"/>
    <w:rsid w:val="0BEF4895"/>
    <w:rsid w:val="0C342EA9"/>
    <w:rsid w:val="0C484441"/>
    <w:rsid w:val="0C50DCA2"/>
    <w:rsid w:val="0CECA994"/>
    <w:rsid w:val="0D1E373D"/>
    <w:rsid w:val="0D8DC39B"/>
    <w:rsid w:val="0DC1DAFF"/>
    <w:rsid w:val="0DCA5F29"/>
    <w:rsid w:val="0DD0C416"/>
    <w:rsid w:val="0DD13555"/>
    <w:rsid w:val="0DED2656"/>
    <w:rsid w:val="0DEF6593"/>
    <w:rsid w:val="0E0B7F57"/>
    <w:rsid w:val="0ECDFBDE"/>
    <w:rsid w:val="0EE1C3DE"/>
    <w:rsid w:val="0EFCE8CD"/>
    <w:rsid w:val="0F0C0A0B"/>
    <w:rsid w:val="0F414AE4"/>
    <w:rsid w:val="0F8FD9C2"/>
    <w:rsid w:val="0F90CA39"/>
    <w:rsid w:val="102AC70C"/>
    <w:rsid w:val="104302B4"/>
    <w:rsid w:val="10509C36"/>
    <w:rsid w:val="10A7F5B8"/>
    <w:rsid w:val="10CA4CEE"/>
    <w:rsid w:val="10EEF515"/>
    <w:rsid w:val="11FF1117"/>
    <w:rsid w:val="12134FF4"/>
    <w:rsid w:val="1221C04C"/>
    <w:rsid w:val="12458929"/>
    <w:rsid w:val="1299F24A"/>
    <w:rsid w:val="12FEE8C2"/>
    <w:rsid w:val="13058536"/>
    <w:rsid w:val="1310A8AE"/>
    <w:rsid w:val="13537953"/>
    <w:rsid w:val="1356511B"/>
    <w:rsid w:val="1368F2DD"/>
    <w:rsid w:val="13CA010F"/>
    <w:rsid w:val="1485C143"/>
    <w:rsid w:val="148C4D2A"/>
    <w:rsid w:val="14907F12"/>
    <w:rsid w:val="149BD49A"/>
    <w:rsid w:val="14AF076F"/>
    <w:rsid w:val="14E3E701"/>
    <w:rsid w:val="152A8152"/>
    <w:rsid w:val="152ED526"/>
    <w:rsid w:val="157660EF"/>
    <w:rsid w:val="15B808CA"/>
    <w:rsid w:val="15EE30FA"/>
    <w:rsid w:val="160A4C27"/>
    <w:rsid w:val="162F13A1"/>
    <w:rsid w:val="165BA557"/>
    <w:rsid w:val="16F123A2"/>
    <w:rsid w:val="16FF3863"/>
    <w:rsid w:val="17524019"/>
    <w:rsid w:val="17725E3D"/>
    <w:rsid w:val="17B8574C"/>
    <w:rsid w:val="17CB06D1"/>
    <w:rsid w:val="1849C9D5"/>
    <w:rsid w:val="1891805B"/>
    <w:rsid w:val="18986E54"/>
    <w:rsid w:val="18DB7213"/>
    <w:rsid w:val="18DDB79F"/>
    <w:rsid w:val="18E51FDD"/>
    <w:rsid w:val="18FD157A"/>
    <w:rsid w:val="1924124A"/>
    <w:rsid w:val="19DFF1D4"/>
    <w:rsid w:val="1A0E7A95"/>
    <w:rsid w:val="1A1323F1"/>
    <w:rsid w:val="1A4B18F4"/>
    <w:rsid w:val="1A834A37"/>
    <w:rsid w:val="1AA3EF0F"/>
    <w:rsid w:val="1AE450DC"/>
    <w:rsid w:val="1AF4666F"/>
    <w:rsid w:val="1B70573A"/>
    <w:rsid w:val="1B9649DA"/>
    <w:rsid w:val="1C0CDD4E"/>
    <w:rsid w:val="1CA20107"/>
    <w:rsid w:val="1CEC0CC4"/>
    <w:rsid w:val="1D05881F"/>
    <w:rsid w:val="1D2EE6EB"/>
    <w:rsid w:val="1D5E1274"/>
    <w:rsid w:val="1D8C6631"/>
    <w:rsid w:val="1DF81D36"/>
    <w:rsid w:val="1E26CF31"/>
    <w:rsid w:val="1E2E30CE"/>
    <w:rsid w:val="1E97FE54"/>
    <w:rsid w:val="1ED7C8D1"/>
    <w:rsid w:val="1F19F471"/>
    <w:rsid w:val="1F1C85AD"/>
    <w:rsid w:val="1F202769"/>
    <w:rsid w:val="1F545433"/>
    <w:rsid w:val="1F88BB12"/>
    <w:rsid w:val="1FE9604A"/>
    <w:rsid w:val="1FFC5F8C"/>
    <w:rsid w:val="2005A885"/>
    <w:rsid w:val="204C60CC"/>
    <w:rsid w:val="204FB363"/>
    <w:rsid w:val="20785C32"/>
    <w:rsid w:val="20EBAE63"/>
    <w:rsid w:val="214AC82A"/>
    <w:rsid w:val="21D26D08"/>
    <w:rsid w:val="22992EE3"/>
    <w:rsid w:val="229B00C7"/>
    <w:rsid w:val="229EE939"/>
    <w:rsid w:val="229F3C21"/>
    <w:rsid w:val="22EE6509"/>
    <w:rsid w:val="232F5AF5"/>
    <w:rsid w:val="24625006"/>
    <w:rsid w:val="2462BE5A"/>
    <w:rsid w:val="246C3A79"/>
    <w:rsid w:val="2546690F"/>
    <w:rsid w:val="2565E206"/>
    <w:rsid w:val="2570A148"/>
    <w:rsid w:val="258D979A"/>
    <w:rsid w:val="259CEF1A"/>
    <w:rsid w:val="26254567"/>
    <w:rsid w:val="2637C35D"/>
    <w:rsid w:val="265801CD"/>
    <w:rsid w:val="26589C77"/>
    <w:rsid w:val="26BCAABE"/>
    <w:rsid w:val="26BD77C5"/>
    <w:rsid w:val="27423F6D"/>
    <w:rsid w:val="27E62D1E"/>
    <w:rsid w:val="284720DA"/>
    <w:rsid w:val="286E4BD8"/>
    <w:rsid w:val="28F91F0D"/>
    <w:rsid w:val="28FFA132"/>
    <w:rsid w:val="2976CE22"/>
    <w:rsid w:val="2976F785"/>
    <w:rsid w:val="298E04EB"/>
    <w:rsid w:val="299A65A7"/>
    <w:rsid w:val="299D0BAC"/>
    <w:rsid w:val="29CA12F0"/>
    <w:rsid w:val="29D7AE3C"/>
    <w:rsid w:val="29DBE6E8"/>
    <w:rsid w:val="2A0A80CF"/>
    <w:rsid w:val="2A40AA91"/>
    <w:rsid w:val="2A7B0BB7"/>
    <w:rsid w:val="2AE0AB9B"/>
    <w:rsid w:val="2BB82DAB"/>
    <w:rsid w:val="2BF5D4FC"/>
    <w:rsid w:val="2C5321BB"/>
    <w:rsid w:val="2DA1B8DE"/>
    <w:rsid w:val="2DB63AD0"/>
    <w:rsid w:val="2DD6AB7E"/>
    <w:rsid w:val="2DDBCEFA"/>
    <w:rsid w:val="2E59C861"/>
    <w:rsid w:val="2E5F17F4"/>
    <w:rsid w:val="2E8A8E6F"/>
    <w:rsid w:val="2E969B3A"/>
    <w:rsid w:val="2F21A957"/>
    <w:rsid w:val="3011EE6B"/>
    <w:rsid w:val="301B2CCE"/>
    <w:rsid w:val="304B621C"/>
    <w:rsid w:val="30B5B23E"/>
    <w:rsid w:val="30EB5985"/>
    <w:rsid w:val="31142FAC"/>
    <w:rsid w:val="31A6C7DB"/>
    <w:rsid w:val="31B22D47"/>
    <w:rsid w:val="325A35DD"/>
    <w:rsid w:val="328BE278"/>
    <w:rsid w:val="32C8A9CE"/>
    <w:rsid w:val="32DE7217"/>
    <w:rsid w:val="32F19F4A"/>
    <w:rsid w:val="338BA4E7"/>
    <w:rsid w:val="33AA8CD8"/>
    <w:rsid w:val="33BCB220"/>
    <w:rsid w:val="33BE878A"/>
    <w:rsid w:val="33C336F0"/>
    <w:rsid w:val="3424F37A"/>
    <w:rsid w:val="3459FEE9"/>
    <w:rsid w:val="3471EBF8"/>
    <w:rsid w:val="34DB4B2F"/>
    <w:rsid w:val="35024B55"/>
    <w:rsid w:val="360DC68D"/>
    <w:rsid w:val="362874ED"/>
    <w:rsid w:val="363AA3E2"/>
    <w:rsid w:val="364115EC"/>
    <w:rsid w:val="3669A5F9"/>
    <w:rsid w:val="36A85726"/>
    <w:rsid w:val="3722170D"/>
    <w:rsid w:val="37231D7C"/>
    <w:rsid w:val="374C154E"/>
    <w:rsid w:val="37522D27"/>
    <w:rsid w:val="37644EC3"/>
    <w:rsid w:val="37687F31"/>
    <w:rsid w:val="37CF4E5D"/>
    <w:rsid w:val="382241DC"/>
    <w:rsid w:val="382D743B"/>
    <w:rsid w:val="391AA48F"/>
    <w:rsid w:val="397256D2"/>
    <w:rsid w:val="39DB9ACE"/>
    <w:rsid w:val="3A327C36"/>
    <w:rsid w:val="3A8C35F1"/>
    <w:rsid w:val="3ABCE916"/>
    <w:rsid w:val="3AE0D100"/>
    <w:rsid w:val="3AE2A065"/>
    <w:rsid w:val="3B116392"/>
    <w:rsid w:val="3B425214"/>
    <w:rsid w:val="3B6489C0"/>
    <w:rsid w:val="3B7E8D3E"/>
    <w:rsid w:val="3BAA5506"/>
    <w:rsid w:val="3C143716"/>
    <w:rsid w:val="3C2D28F7"/>
    <w:rsid w:val="3CD2171C"/>
    <w:rsid w:val="3D2B9E09"/>
    <w:rsid w:val="3D39AE2E"/>
    <w:rsid w:val="3D696657"/>
    <w:rsid w:val="3D71CCA1"/>
    <w:rsid w:val="3D8A65EC"/>
    <w:rsid w:val="3DB62F1E"/>
    <w:rsid w:val="3E02942A"/>
    <w:rsid w:val="3E1FD87B"/>
    <w:rsid w:val="3E7E9561"/>
    <w:rsid w:val="3E8E164C"/>
    <w:rsid w:val="3EC9FF5D"/>
    <w:rsid w:val="3EF7D357"/>
    <w:rsid w:val="3F0BE25A"/>
    <w:rsid w:val="3F218C03"/>
    <w:rsid w:val="3F560C33"/>
    <w:rsid w:val="3FBF8419"/>
    <w:rsid w:val="3FDE1A8C"/>
    <w:rsid w:val="40E551E7"/>
    <w:rsid w:val="40F1C671"/>
    <w:rsid w:val="4119EE3D"/>
    <w:rsid w:val="41670F01"/>
    <w:rsid w:val="41892C4D"/>
    <w:rsid w:val="418F256A"/>
    <w:rsid w:val="41E9D50E"/>
    <w:rsid w:val="41F71D56"/>
    <w:rsid w:val="42380F44"/>
    <w:rsid w:val="423BABF6"/>
    <w:rsid w:val="429D09F6"/>
    <w:rsid w:val="42C29F30"/>
    <w:rsid w:val="42C3C1C3"/>
    <w:rsid w:val="42CFFE78"/>
    <w:rsid w:val="432DA947"/>
    <w:rsid w:val="43A1A6A0"/>
    <w:rsid w:val="4424D53D"/>
    <w:rsid w:val="4430305C"/>
    <w:rsid w:val="4473656D"/>
    <w:rsid w:val="44A3E324"/>
    <w:rsid w:val="450CB90D"/>
    <w:rsid w:val="452B93DB"/>
    <w:rsid w:val="45397270"/>
    <w:rsid w:val="458F6125"/>
    <w:rsid w:val="45D5F763"/>
    <w:rsid w:val="4612404A"/>
    <w:rsid w:val="462CCC88"/>
    <w:rsid w:val="4640CB0A"/>
    <w:rsid w:val="471175C4"/>
    <w:rsid w:val="478ACDB1"/>
    <w:rsid w:val="478C7CD7"/>
    <w:rsid w:val="47E5DDC4"/>
    <w:rsid w:val="484D75A6"/>
    <w:rsid w:val="4855F897"/>
    <w:rsid w:val="485F458D"/>
    <w:rsid w:val="489E6E08"/>
    <w:rsid w:val="4941C08E"/>
    <w:rsid w:val="4946C6FD"/>
    <w:rsid w:val="4966C9E4"/>
    <w:rsid w:val="49A53326"/>
    <w:rsid w:val="49A82E7E"/>
    <w:rsid w:val="49C09E4B"/>
    <w:rsid w:val="4A217F48"/>
    <w:rsid w:val="4A4ACA50"/>
    <w:rsid w:val="4A6004CA"/>
    <w:rsid w:val="4A934BAA"/>
    <w:rsid w:val="4AA548C5"/>
    <w:rsid w:val="4AF42955"/>
    <w:rsid w:val="4B16A9AE"/>
    <w:rsid w:val="4B3CF187"/>
    <w:rsid w:val="4B804534"/>
    <w:rsid w:val="4B9F1AB3"/>
    <w:rsid w:val="4C1EA7D6"/>
    <w:rsid w:val="4C3E8FEC"/>
    <w:rsid w:val="4C74E1B3"/>
    <w:rsid w:val="4CEBD93E"/>
    <w:rsid w:val="4D19346C"/>
    <w:rsid w:val="4D299B22"/>
    <w:rsid w:val="4D56B167"/>
    <w:rsid w:val="4D6D83B1"/>
    <w:rsid w:val="4DB4575F"/>
    <w:rsid w:val="4DFDFF24"/>
    <w:rsid w:val="4E1CF3EC"/>
    <w:rsid w:val="4E3D29E3"/>
    <w:rsid w:val="4E89FDE5"/>
    <w:rsid w:val="4EAB818C"/>
    <w:rsid w:val="4EAFD81F"/>
    <w:rsid w:val="4EC34F9A"/>
    <w:rsid w:val="4EC8ABBE"/>
    <w:rsid w:val="4EEC6E31"/>
    <w:rsid w:val="4F1D2825"/>
    <w:rsid w:val="4F21B285"/>
    <w:rsid w:val="4F5BA4EC"/>
    <w:rsid w:val="4F77D5D6"/>
    <w:rsid w:val="4FD51F25"/>
    <w:rsid w:val="50206B28"/>
    <w:rsid w:val="50226F4C"/>
    <w:rsid w:val="5053B7FF"/>
    <w:rsid w:val="506346E4"/>
    <w:rsid w:val="50BBFB91"/>
    <w:rsid w:val="50E9C7B2"/>
    <w:rsid w:val="50F3BEB8"/>
    <w:rsid w:val="50F4B230"/>
    <w:rsid w:val="512BBEC8"/>
    <w:rsid w:val="519B62B0"/>
    <w:rsid w:val="51C5109B"/>
    <w:rsid w:val="52377025"/>
    <w:rsid w:val="5247F5F4"/>
    <w:rsid w:val="524913D3"/>
    <w:rsid w:val="524CF6C7"/>
    <w:rsid w:val="52A8D985"/>
    <w:rsid w:val="52C0CACB"/>
    <w:rsid w:val="52D24965"/>
    <w:rsid w:val="5329E915"/>
    <w:rsid w:val="53683CBB"/>
    <w:rsid w:val="53B6E7F3"/>
    <w:rsid w:val="542A7CF1"/>
    <w:rsid w:val="543CAFE1"/>
    <w:rsid w:val="544A55FF"/>
    <w:rsid w:val="5455BAE6"/>
    <w:rsid w:val="54923752"/>
    <w:rsid w:val="549AC256"/>
    <w:rsid w:val="54AE5F1F"/>
    <w:rsid w:val="54B28D4C"/>
    <w:rsid w:val="54C23C44"/>
    <w:rsid w:val="551E2DD3"/>
    <w:rsid w:val="552536D8"/>
    <w:rsid w:val="554337B4"/>
    <w:rsid w:val="5563C29C"/>
    <w:rsid w:val="5588146B"/>
    <w:rsid w:val="55951C78"/>
    <w:rsid w:val="55B03305"/>
    <w:rsid w:val="560BB786"/>
    <w:rsid w:val="568AE8DE"/>
    <w:rsid w:val="571AD1C1"/>
    <w:rsid w:val="5732DF93"/>
    <w:rsid w:val="57622108"/>
    <w:rsid w:val="5766E3C3"/>
    <w:rsid w:val="578A5FD2"/>
    <w:rsid w:val="57F9AA8B"/>
    <w:rsid w:val="584A9C73"/>
    <w:rsid w:val="589FABBD"/>
    <w:rsid w:val="58B0FA9A"/>
    <w:rsid w:val="58C1E190"/>
    <w:rsid w:val="58C98F93"/>
    <w:rsid w:val="58E43830"/>
    <w:rsid w:val="59400137"/>
    <w:rsid w:val="5A213271"/>
    <w:rsid w:val="5A2CFA4A"/>
    <w:rsid w:val="5A6F11B8"/>
    <w:rsid w:val="5A89D9A9"/>
    <w:rsid w:val="5AD54B54"/>
    <w:rsid w:val="5B463FFA"/>
    <w:rsid w:val="5B7214E3"/>
    <w:rsid w:val="5B7B1550"/>
    <w:rsid w:val="5BD73BC4"/>
    <w:rsid w:val="5BE5C4A4"/>
    <w:rsid w:val="5C0B8CCC"/>
    <w:rsid w:val="5C81F7D5"/>
    <w:rsid w:val="5C844219"/>
    <w:rsid w:val="5C95A352"/>
    <w:rsid w:val="5CA99B7C"/>
    <w:rsid w:val="5CB6E6D7"/>
    <w:rsid w:val="5D00A08E"/>
    <w:rsid w:val="5D2647D1"/>
    <w:rsid w:val="5D5A9784"/>
    <w:rsid w:val="5DAB71CB"/>
    <w:rsid w:val="5DBBCBB1"/>
    <w:rsid w:val="5DD909AB"/>
    <w:rsid w:val="5DD93644"/>
    <w:rsid w:val="5DE9080F"/>
    <w:rsid w:val="5E125CDE"/>
    <w:rsid w:val="5E230549"/>
    <w:rsid w:val="5E43C6B1"/>
    <w:rsid w:val="5E4FBFDF"/>
    <w:rsid w:val="5E5336EB"/>
    <w:rsid w:val="5E54E099"/>
    <w:rsid w:val="5E6C3A6C"/>
    <w:rsid w:val="5E7EB5AE"/>
    <w:rsid w:val="5E7EBAD8"/>
    <w:rsid w:val="5F313B1E"/>
    <w:rsid w:val="5F3563E4"/>
    <w:rsid w:val="5F37BEF1"/>
    <w:rsid w:val="5F476C41"/>
    <w:rsid w:val="5F5A8504"/>
    <w:rsid w:val="5F8EDC10"/>
    <w:rsid w:val="5FE968E7"/>
    <w:rsid w:val="60071BA8"/>
    <w:rsid w:val="60136277"/>
    <w:rsid w:val="6020C712"/>
    <w:rsid w:val="60742E40"/>
    <w:rsid w:val="60F3BFF7"/>
    <w:rsid w:val="617E41CD"/>
    <w:rsid w:val="61A90308"/>
    <w:rsid w:val="61AF557C"/>
    <w:rsid w:val="61F9F4D1"/>
    <w:rsid w:val="6203E13A"/>
    <w:rsid w:val="62559DF2"/>
    <w:rsid w:val="625697F6"/>
    <w:rsid w:val="6269DD35"/>
    <w:rsid w:val="629DBE7F"/>
    <w:rsid w:val="62A6C400"/>
    <w:rsid w:val="62CAFB7E"/>
    <w:rsid w:val="6309C10E"/>
    <w:rsid w:val="632C69FD"/>
    <w:rsid w:val="6336DA1F"/>
    <w:rsid w:val="633702C8"/>
    <w:rsid w:val="638FB569"/>
    <w:rsid w:val="639A1D22"/>
    <w:rsid w:val="640E65F4"/>
    <w:rsid w:val="64569FF6"/>
    <w:rsid w:val="64A6CC9D"/>
    <w:rsid w:val="64B79248"/>
    <w:rsid w:val="64D1EAB6"/>
    <w:rsid w:val="64DA99C7"/>
    <w:rsid w:val="651C952F"/>
    <w:rsid w:val="65404C31"/>
    <w:rsid w:val="657B32E3"/>
    <w:rsid w:val="65B5E18F"/>
    <w:rsid w:val="661CDEDD"/>
    <w:rsid w:val="664315DD"/>
    <w:rsid w:val="664884BC"/>
    <w:rsid w:val="6649A94C"/>
    <w:rsid w:val="6657C745"/>
    <w:rsid w:val="66670C71"/>
    <w:rsid w:val="667A2F59"/>
    <w:rsid w:val="674A1D99"/>
    <w:rsid w:val="677ED559"/>
    <w:rsid w:val="6795629F"/>
    <w:rsid w:val="67D4F629"/>
    <w:rsid w:val="67E1ED17"/>
    <w:rsid w:val="67E68691"/>
    <w:rsid w:val="683676D3"/>
    <w:rsid w:val="68565445"/>
    <w:rsid w:val="6871788B"/>
    <w:rsid w:val="68B6830B"/>
    <w:rsid w:val="691F4FCC"/>
    <w:rsid w:val="69B9023F"/>
    <w:rsid w:val="69C3D726"/>
    <w:rsid w:val="6A0AC33E"/>
    <w:rsid w:val="6A16C3D6"/>
    <w:rsid w:val="6A3FB96E"/>
    <w:rsid w:val="6A43A4E4"/>
    <w:rsid w:val="6AF67E99"/>
    <w:rsid w:val="6B46CCAB"/>
    <w:rsid w:val="6B9BB04F"/>
    <w:rsid w:val="6BF9A0A7"/>
    <w:rsid w:val="6C102E1C"/>
    <w:rsid w:val="6C22B982"/>
    <w:rsid w:val="6C2F1490"/>
    <w:rsid w:val="6C38E759"/>
    <w:rsid w:val="6C6F7BBF"/>
    <w:rsid w:val="6C72076B"/>
    <w:rsid w:val="6C783972"/>
    <w:rsid w:val="6C9ED5F2"/>
    <w:rsid w:val="6CEDFABD"/>
    <w:rsid w:val="6D31584D"/>
    <w:rsid w:val="6D77F7C6"/>
    <w:rsid w:val="6D789D58"/>
    <w:rsid w:val="6DEC280A"/>
    <w:rsid w:val="6E12868B"/>
    <w:rsid w:val="6E555658"/>
    <w:rsid w:val="6EB8FEA1"/>
    <w:rsid w:val="6F2655EE"/>
    <w:rsid w:val="6F3A2259"/>
    <w:rsid w:val="6F3BD31B"/>
    <w:rsid w:val="6F642880"/>
    <w:rsid w:val="6F97FFF1"/>
    <w:rsid w:val="6FEB2FAE"/>
    <w:rsid w:val="7020C79C"/>
    <w:rsid w:val="70260F94"/>
    <w:rsid w:val="7085A528"/>
    <w:rsid w:val="70C44506"/>
    <w:rsid w:val="7143017F"/>
    <w:rsid w:val="71722562"/>
    <w:rsid w:val="71873750"/>
    <w:rsid w:val="726733F0"/>
    <w:rsid w:val="73003060"/>
    <w:rsid w:val="73522D94"/>
    <w:rsid w:val="7469BD7A"/>
    <w:rsid w:val="74871DD2"/>
    <w:rsid w:val="74AD5B1A"/>
    <w:rsid w:val="74B89B27"/>
    <w:rsid w:val="75212B12"/>
    <w:rsid w:val="752CA128"/>
    <w:rsid w:val="7580E729"/>
    <w:rsid w:val="75ABB342"/>
    <w:rsid w:val="75D71C01"/>
    <w:rsid w:val="75EB28D8"/>
    <w:rsid w:val="75FEB578"/>
    <w:rsid w:val="763784C1"/>
    <w:rsid w:val="76A62CBB"/>
    <w:rsid w:val="76B48465"/>
    <w:rsid w:val="76D9D466"/>
    <w:rsid w:val="76FB0008"/>
    <w:rsid w:val="7730F92F"/>
    <w:rsid w:val="77D3EA94"/>
    <w:rsid w:val="77F21523"/>
    <w:rsid w:val="7830D969"/>
    <w:rsid w:val="78353094"/>
    <w:rsid w:val="7852D1D2"/>
    <w:rsid w:val="78BC17B9"/>
    <w:rsid w:val="79349A47"/>
    <w:rsid w:val="79840E28"/>
    <w:rsid w:val="79EA114F"/>
    <w:rsid w:val="7A3C1D5E"/>
    <w:rsid w:val="7AF66362"/>
    <w:rsid w:val="7B227BBD"/>
    <w:rsid w:val="7B246830"/>
    <w:rsid w:val="7B658BEB"/>
    <w:rsid w:val="7BA49CCE"/>
    <w:rsid w:val="7C8B28CF"/>
    <w:rsid w:val="7CCF5EED"/>
    <w:rsid w:val="7CD30C50"/>
    <w:rsid w:val="7CED200D"/>
    <w:rsid w:val="7CFFE7B4"/>
    <w:rsid w:val="7D0E4934"/>
    <w:rsid w:val="7D0E4D9A"/>
    <w:rsid w:val="7D8FFEDF"/>
    <w:rsid w:val="7D93466A"/>
    <w:rsid w:val="7DB2FF77"/>
    <w:rsid w:val="7DFDD81F"/>
    <w:rsid w:val="7E080C2C"/>
    <w:rsid w:val="7E324868"/>
    <w:rsid w:val="7E706089"/>
    <w:rsid w:val="7E872B89"/>
    <w:rsid w:val="7EBE89DF"/>
    <w:rsid w:val="7ED0A520"/>
    <w:rsid w:val="7ED6364F"/>
    <w:rsid w:val="7EFF7022"/>
    <w:rsid w:val="7F4BC530"/>
    <w:rsid w:val="7FAAC044"/>
    <w:rsid w:val="7FC23D64"/>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9500D8"/>
  <w15:docId w15:val="{26714FE2-4E86-4871-8CD6-A56E72FBF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Verdana"/>
        <w:lang w:val="es-CO" w:eastAsia="es-CO" w:bidi="ar-SA"/>
      </w:rPr>
    </w:rPrDefault>
    <w:pPrDefault>
      <w:pPr>
        <w:spacing w:before="120" w:after="28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4B35"/>
  </w:style>
  <w:style w:type="paragraph" w:styleId="Ttulo1">
    <w:name w:val="heading 1"/>
    <w:basedOn w:val="Normal"/>
    <w:next w:val="Normal"/>
    <w:link w:val="Ttulo1Car"/>
    <w:uiPriority w:val="9"/>
    <w:qFormat/>
    <w:rsid w:val="007E2369"/>
    <w:pPr>
      <w:keepNext/>
      <w:keepLines/>
      <w:spacing w:before="240" w:after="0"/>
      <w:jc w:val="center"/>
      <w:outlineLvl w:val="0"/>
    </w:pPr>
    <w:rPr>
      <w:rFonts w:eastAsiaTheme="majorEastAsia" w:cstheme="majorBidi"/>
      <w:color w:val="2E74B5" w:themeColor="accent1" w:themeShade="BF"/>
      <w:sz w:val="28"/>
      <w:szCs w:val="32"/>
    </w:rPr>
  </w:style>
  <w:style w:type="paragraph" w:styleId="Ttulo2">
    <w:name w:val="heading 2"/>
    <w:basedOn w:val="Normal"/>
    <w:next w:val="Normal"/>
    <w:link w:val="Ttulo2Car"/>
    <w:uiPriority w:val="9"/>
    <w:unhideWhenUsed/>
    <w:qFormat/>
    <w:rsid w:val="007E2369"/>
    <w:pPr>
      <w:keepNext/>
      <w:keepLines/>
      <w:spacing w:before="160" w:after="120"/>
      <w:outlineLvl w:val="1"/>
    </w:pPr>
    <w:rPr>
      <w:rFonts w:eastAsiaTheme="majorEastAsia" w:cstheme="majorBidi"/>
      <w:color w:val="2E74B5" w:themeColor="accent1" w:themeShade="BF"/>
      <w:sz w:val="22"/>
      <w:szCs w:val="26"/>
    </w:rPr>
  </w:style>
  <w:style w:type="paragraph" w:styleId="Ttulo3">
    <w:name w:val="heading 3"/>
    <w:basedOn w:val="Normal"/>
    <w:next w:val="Normal"/>
    <w:link w:val="Ttulo3Car"/>
    <w:uiPriority w:val="9"/>
    <w:unhideWhenUsed/>
    <w:qFormat/>
    <w:rsid w:val="007E2369"/>
    <w:pPr>
      <w:keepNext/>
      <w:keepLines/>
      <w:spacing w:before="40" w:after="0"/>
      <w:outlineLvl w:val="2"/>
    </w:pPr>
    <w:rPr>
      <w:rFonts w:eastAsiaTheme="majorEastAsia" w:cstheme="majorBidi"/>
      <w:color w:val="1F4D78" w:themeColor="accent1" w:themeShade="7F"/>
      <w:szCs w:val="24"/>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styleId="Tablaconcuadrcula">
    <w:name w:val="Table Grid"/>
    <w:basedOn w:val="Tablanormal"/>
    <w:uiPriority w:val="39"/>
    <w:rsid w:val="003F038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B35FC4"/>
    <w:pPr>
      <w:ind w:left="720"/>
      <w:contextualSpacing/>
    </w:pPr>
  </w:style>
  <w:style w:type="paragraph" w:styleId="Textonotapie">
    <w:name w:val="footnote text"/>
    <w:basedOn w:val="Normal"/>
    <w:link w:val="TextonotapieCar"/>
    <w:unhideWhenUsed/>
    <w:rsid w:val="00B34F49"/>
    <w:pPr>
      <w:spacing w:after="0"/>
    </w:pPr>
    <w:rPr>
      <w:sz w:val="18"/>
    </w:rPr>
  </w:style>
  <w:style w:type="character" w:customStyle="1" w:styleId="TextonotapieCar">
    <w:name w:val="Texto nota pie Car"/>
    <w:basedOn w:val="Fuentedeprrafopredeter"/>
    <w:link w:val="Textonotapie"/>
    <w:rsid w:val="00B34F49"/>
    <w:rPr>
      <w:rFonts w:ascii="Verdana" w:hAnsi="Verdana"/>
      <w:sz w:val="18"/>
      <w:szCs w:val="20"/>
    </w:rPr>
  </w:style>
  <w:style w:type="character" w:styleId="Refdenotaalpie">
    <w:name w:val="footnote reference"/>
    <w:basedOn w:val="Fuentedeprrafopredeter"/>
    <w:unhideWhenUsed/>
    <w:rsid w:val="00B34F49"/>
    <w:rPr>
      <w:rFonts w:ascii="Verdana" w:hAnsi="Verdana"/>
      <w:sz w:val="18"/>
      <w:vertAlign w:val="superscript"/>
    </w:rPr>
  </w:style>
  <w:style w:type="character" w:styleId="Refdecomentario">
    <w:name w:val="annotation reference"/>
    <w:basedOn w:val="Fuentedeprrafopredeter"/>
    <w:uiPriority w:val="99"/>
    <w:semiHidden/>
    <w:unhideWhenUsed/>
    <w:rsid w:val="00BC7B7F"/>
    <w:rPr>
      <w:sz w:val="16"/>
      <w:szCs w:val="16"/>
    </w:rPr>
  </w:style>
  <w:style w:type="paragraph" w:styleId="Textocomentario">
    <w:name w:val="annotation text"/>
    <w:basedOn w:val="Normal"/>
    <w:link w:val="TextocomentarioCar"/>
    <w:uiPriority w:val="99"/>
    <w:unhideWhenUsed/>
    <w:rsid w:val="00BC7B7F"/>
  </w:style>
  <w:style w:type="character" w:customStyle="1" w:styleId="TextocomentarioCar">
    <w:name w:val="Texto comentario Car"/>
    <w:basedOn w:val="Fuentedeprrafopredeter"/>
    <w:link w:val="Textocomentario"/>
    <w:uiPriority w:val="99"/>
    <w:rsid w:val="00BC7B7F"/>
    <w:rPr>
      <w:sz w:val="20"/>
      <w:szCs w:val="20"/>
    </w:rPr>
  </w:style>
  <w:style w:type="paragraph" w:styleId="Asuntodelcomentario">
    <w:name w:val="annotation subject"/>
    <w:basedOn w:val="Textocomentario"/>
    <w:next w:val="Textocomentario"/>
    <w:link w:val="AsuntodelcomentarioCar"/>
    <w:uiPriority w:val="99"/>
    <w:semiHidden/>
    <w:unhideWhenUsed/>
    <w:rsid w:val="00BC7B7F"/>
    <w:rPr>
      <w:b/>
      <w:bCs/>
    </w:rPr>
  </w:style>
  <w:style w:type="character" w:customStyle="1" w:styleId="AsuntodelcomentarioCar">
    <w:name w:val="Asunto del comentario Car"/>
    <w:basedOn w:val="TextocomentarioCar"/>
    <w:link w:val="Asuntodelcomentario"/>
    <w:uiPriority w:val="99"/>
    <w:semiHidden/>
    <w:rsid w:val="00BC7B7F"/>
    <w:rPr>
      <w:b/>
      <w:bCs/>
      <w:sz w:val="20"/>
      <w:szCs w:val="20"/>
    </w:rPr>
  </w:style>
  <w:style w:type="paragraph" w:styleId="Textodeglobo">
    <w:name w:val="Balloon Text"/>
    <w:basedOn w:val="Normal"/>
    <w:link w:val="TextodegloboCar"/>
    <w:uiPriority w:val="99"/>
    <w:semiHidden/>
    <w:unhideWhenUsed/>
    <w:rsid w:val="00BC7B7F"/>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C7B7F"/>
    <w:rPr>
      <w:rFonts w:ascii="Segoe UI" w:hAnsi="Segoe UI" w:cs="Segoe UI"/>
      <w:sz w:val="18"/>
      <w:szCs w:val="18"/>
    </w:rPr>
  </w:style>
  <w:style w:type="paragraph" w:styleId="Encabezado">
    <w:name w:val="header"/>
    <w:basedOn w:val="Normal"/>
    <w:link w:val="EncabezadoCar"/>
    <w:uiPriority w:val="99"/>
    <w:unhideWhenUsed/>
    <w:rsid w:val="00041F01"/>
    <w:pPr>
      <w:tabs>
        <w:tab w:val="center" w:pos="4419"/>
        <w:tab w:val="right" w:pos="8838"/>
      </w:tabs>
      <w:spacing w:after="0"/>
    </w:pPr>
  </w:style>
  <w:style w:type="character" w:customStyle="1" w:styleId="EncabezadoCar">
    <w:name w:val="Encabezado Car"/>
    <w:basedOn w:val="Fuentedeprrafopredeter"/>
    <w:link w:val="Encabezado"/>
    <w:uiPriority w:val="99"/>
    <w:rsid w:val="00041F01"/>
  </w:style>
  <w:style w:type="paragraph" w:styleId="Piedepgina">
    <w:name w:val="footer"/>
    <w:basedOn w:val="Normal"/>
    <w:link w:val="PiedepginaCar"/>
    <w:uiPriority w:val="99"/>
    <w:unhideWhenUsed/>
    <w:rsid w:val="00041F01"/>
    <w:pPr>
      <w:tabs>
        <w:tab w:val="center" w:pos="4419"/>
        <w:tab w:val="right" w:pos="8838"/>
      </w:tabs>
      <w:spacing w:after="0"/>
    </w:pPr>
  </w:style>
  <w:style w:type="character" w:customStyle="1" w:styleId="PiedepginaCar">
    <w:name w:val="Pie de página Car"/>
    <w:basedOn w:val="Fuentedeprrafopredeter"/>
    <w:link w:val="Piedepgina"/>
    <w:uiPriority w:val="99"/>
    <w:rsid w:val="00041F01"/>
  </w:style>
  <w:style w:type="character" w:customStyle="1" w:styleId="Ttulo1Car">
    <w:name w:val="Título 1 Car"/>
    <w:basedOn w:val="Fuentedeprrafopredeter"/>
    <w:link w:val="Ttulo1"/>
    <w:uiPriority w:val="9"/>
    <w:rsid w:val="007E2369"/>
    <w:rPr>
      <w:rFonts w:ascii="Verdana" w:eastAsiaTheme="majorEastAsia" w:hAnsi="Verdana" w:cstheme="majorBidi"/>
      <w:color w:val="2E74B5" w:themeColor="accent1" w:themeShade="BF"/>
      <w:sz w:val="28"/>
      <w:szCs w:val="32"/>
    </w:rPr>
  </w:style>
  <w:style w:type="character" w:customStyle="1" w:styleId="Ttulo2Car">
    <w:name w:val="Título 2 Car"/>
    <w:basedOn w:val="Fuentedeprrafopredeter"/>
    <w:link w:val="Ttulo2"/>
    <w:uiPriority w:val="9"/>
    <w:rsid w:val="007E2369"/>
    <w:rPr>
      <w:rFonts w:ascii="Verdana" w:eastAsiaTheme="majorEastAsia" w:hAnsi="Verdana" w:cstheme="majorBidi"/>
      <w:color w:val="2E74B5" w:themeColor="accent1" w:themeShade="BF"/>
      <w:szCs w:val="26"/>
    </w:rPr>
  </w:style>
  <w:style w:type="character" w:customStyle="1" w:styleId="Ttulo3Car">
    <w:name w:val="Título 3 Car"/>
    <w:basedOn w:val="Fuentedeprrafopredeter"/>
    <w:link w:val="Ttulo3"/>
    <w:uiPriority w:val="9"/>
    <w:rsid w:val="007E2369"/>
    <w:rPr>
      <w:rFonts w:ascii="Verdana" w:eastAsiaTheme="majorEastAsia" w:hAnsi="Verdana" w:cstheme="majorBidi"/>
      <w:color w:val="1F4D78" w:themeColor="accent1" w:themeShade="7F"/>
      <w:sz w:val="20"/>
      <w:szCs w:val="24"/>
    </w:rPr>
  </w:style>
  <w:style w:type="paragraph" w:styleId="Subttulo">
    <w:name w:val="Subtitle"/>
    <w:basedOn w:val="Normal"/>
    <w:next w:val="Normal"/>
    <w:link w:val="SubttuloCar"/>
    <w:uiPriority w:val="11"/>
    <w:qFormat/>
    <w:pPr>
      <w:spacing w:after="160"/>
    </w:pPr>
    <w:rPr>
      <w:color w:val="5A5A5A"/>
    </w:rPr>
  </w:style>
  <w:style w:type="character" w:customStyle="1" w:styleId="SubttuloCar">
    <w:name w:val="Subtítulo Car"/>
    <w:basedOn w:val="Fuentedeprrafopredeter"/>
    <w:link w:val="Subttulo"/>
    <w:uiPriority w:val="11"/>
    <w:rsid w:val="007E2369"/>
    <w:rPr>
      <w:rFonts w:ascii="Verdana" w:eastAsiaTheme="minorEastAsia" w:hAnsi="Verdana"/>
      <w:color w:val="5A5A5A" w:themeColor="text1" w:themeTint="A5"/>
      <w:spacing w:val="15"/>
    </w:rPr>
  </w:style>
  <w:style w:type="character" w:styleId="nfasissutil">
    <w:name w:val="Subtle Emphasis"/>
    <w:basedOn w:val="Fuentedeprrafopredeter"/>
    <w:uiPriority w:val="19"/>
    <w:qFormat/>
    <w:rsid w:val="007E2369"/>
    <w:rPr>
      <w:rFonts w:ascii="Verdana" w:hAnsi="Verdana"/>
      <w:i/>
      <w:iCs/>
      <w:color w:val="404040" w:themeColor="text1" w:themeTint="BF"/>
      <w:sz w:val="22"/>
    </w:rPr>
  </w:style>
  <w:style w:type="paragraph" w:customStyle="1" w:styleId="Default">
    <w:name w:val="Default"/>
    <w:basedOn w:val="Normal"/>
    <w:rsid w:val="002E4EED"/>
    <w:pPr>
      <w:autoSpaceDE w:val="0"/>
      <w:autoSpaceDN w:val="0"/>
      <w:spacing w:before="0" w:after="0"/>
      <w:jc w:val="left"/>
    </w:pPr>
    <w:rPr>
      <w:rFonts w:ascii="Tahoma" w:eastAsia="Calibri" w:hAnsi="Tahoma" w:cs="Tahoma"/>
      <w:color w:val="000000"/>
      <w:sz w:val="24"/>
      <w:szCs w:val="24"/>
      <w:lang w:val="es-ES" w:eastAsia="es-ES"/>
    </w:rPr>
  </w:style>
  <w:style w:type="table" w:customStyle="1" w:styleId="a">
    <w:basedOn w:val="NormalTable0"/>
    <w:pPr>
      <w:spacing w:after="0"/>
    </w:pPr>
    <w:tblPr>
      <w:tblStyleRowBandSize w:val="1"/>
      <w:tblStyleColBandSize w:val="1"/>
      <w:tblCellMar>
        <w:left w:w="108" w:type="dxa"/>
        <w:right w:w="108" w:type="dxa"/>
      </w:tblCellMar>
    </w:tblPr>
  </w:style>
  <w:style w:type="table" w:customStyle="1" w:styleId="a0">
    <w:basedOn w:val="NormalTable0"/>
    <w:tblPr>
      <w:tblStyleRowBandSize w:val="1"/>
      <w:tblStyleColBandSize w:val="1"/>
      <w:tblCellMar>
        <w:left w:w="115" w:type="dxa"/>
        <w:right w:w="115" w:type="dxa"/>
      </w:tblCellMar>
    </w:tblPr>
  </w:style>
  <w:style w:type="paragraph" w:styleId="Textonotaalfinal">
    <w:name w:val="endnote text"/>
    <w:basedOn w:val="Normal"/>
    <w:uiPriority w:val="99"/>
    <w:semiHidden/>
    <w:unhideWhenUsed/>
    <w:rsid w:val="6309C10E"/>
    <w:pPr>
      <w:spacing w:after="0"/>
    </w:pPr>
  </w:style>
  <w:style w:type="character" w:styleId="Refdenotaalfinal">
    <w:name w:val="endnote reference"/>
    <w:basedOn w:val="Fuentedeprrafopredeter"/>
    <w:uiPriority w:val="99"/>
    <w:semiHidden/>
    <w:unhideWhenUsed/>
    <w:rsid w:val="005D3D84"/>
    <w:rPr>
      <w:vertAlign w:val="superscript"/>
    </w:rPr>
  </w:style>
  <w:style w:type="character" w:styleId="Hipervnculo">
    <w:name w:val="Hyperlink"/>
    <w:basedOn w:val="Fuentedeprrafopredeter"/>
    <w:uiPriority w:val="99"/>
    <w:unhideWhenUsed/>
    <w:rsid w:val="00060E9A"/>
    <w:rPr>
      <w:color w:val="0563C1" w:themeColor="hyperlink"/>
      <w:u w:val="single"/>
    </w:rPr>
  </w:style>
  <w:style w:type="character" w:styleId="Mencinsinresolver">
    <w:name w:val="Unresolved Mention"/>
    <w:basedOn w:val="Fuentedeprrafopredeter"/>
    <w:uiPriority w:val="99"/>
    <w:semiHidden/>
    <w:unhideWhenUsed/>
    <w:rsid w:val="00060E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535357">
      <w:bodyDiv w:val="1"/>
      <w:marLeft w:val="0"/>
      <w:marRight w:val="0"/>
      <w:marTop w:val="0"/>
      <w:marBottom w:val="0"/>
      <w:divBdr>
        <w:top w:val="none" w:sz="0" w:space="0" w:color="auto"/>
        <w:left w:val="none" w:sz="0" w:space="0" w:color="auto"/>
        <w:bottom w:val="none" w:sz="0" w:space="0" w:color="auto"/>
        <w:right w:val="none" w:sz="0" w:space="0" w:color="auto"/>
      </w:divBdr>
    </w:div>
    <w:div w:id="774788875">
      <w:bodyDiv w:val="1"/>
      <w:marLeft w:val="0"/>
      <w:marRight w:val="0"/>
      <w:marTop w:val="0"/>
      <w:marBottom w:val="0"/>
      <w:divBdr>
        <w:top w:val="none" w:sz="0" w:space="0" w:color="auto"/>
        <w:left w:val="none" w:sz="0" w:space="0" w:color="auto"/>
        <w:bottom w:val="none" w:sz="0" w:space="0" w:color="auto"/>
        <w:right w:val="none" w:sz="0" w:space="0" w:color="auto"/>
      </w:divBdr>
    </w:div>
    <w:div w:id="998924496">
      <w:bodyDiv w:val="1"/>
      <w:marLeft w:val="0"/>
      <w:marRight w:val="0"/>
      <w:marTop w:val="0"/>
      <w:marBottom w:val="0"/>
      <w:divBdr>
        <w:top w:val="none" w:sz="0" w:space="0" w:color="auto"/>
        <w:left w:val="none" w:sz="0" w:space="0" w:color="auto"/>
        <w:bottom w:val="none" w:sz="0" w:space="0" w:color="auto"/>
        <w:right w:val="none" w:sz="0" w:space="0" w:color="auto"/>
      </w:divBdr>
    </w:div>
    <w:div w:id="1687831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dane.gov.co/files/censo2018/proyecciones-de-poblacion/presentacion-Proypoblacion-IndDemograficos-ActPostCOVID.pdf" TargetMode="External"/><Relationship Id="rId18" Type="http://schemas.openxmlformats.org/officeDocument/2006/relationships/hyperlink" Target="https://www.minsalud.gov.co/sites/rid/Lists/BibliotecaDigital/RIDE/DE/PS/politica-publica-nacional-envejecimiento-vejez-2022-2031.pdf" TargetMode="External"/><Relationship Id="rId26" Type="http://schemas.openxmlformats.org/officeDocument/2006/relationships/hyperlink" Target="https://www.integracionsocial.gov.co/images/_docs/2023/transparencia/publicacion/30102023-Tomo1_Estudio-Implicaciones_emergencia_sanitaria_economica_social_COVID19_personas_mayores_SDIS.pdf" TargetMode="External"/><Relationship Id="rId21" Type="http://schemas.openxmlformats.org/officeDocument/2006/relationships/hyperlink" Target="https://iris.who.int/bitstream/handle/10665/350938/9789240039759-spa.pdf?sequence=1&amp;isAllowed=y" TargetMode="External"/><Relationship Id="rId34" Type="http://schemas.openxmlformats.org/officeDocument/2006/relationships/hyperlink" Target="https://www.integracionsocial.gov.co/images/_docs/2025/Documentos/14022025-Boletin-resultados.pdf" TargetMode="External"/><Relationship Id="rId7" Type="http://schemas.openxmlformats.org/officeDocument/2006/relationships/styles" Target="styles.xml"/><Relationship Id="rId12" Type="http://schemas.openxmlformats.org/officeDocument/2006/relationships/hyperlink" Target="https://concejodebogota.gov.co/concejo/site/docs/20240124/asocfile/20240124201722/edicion_762_acuerdo_927_del_2024.pdf" TargetMode="External"/><Relationship Id="rId17" Type="http://schemas.openxmlformats.org/officeDocument/2006/relationships/hyperlink" Target="https://www.minsalud.gov.co/sites/rid/lists/bibliotecaDigital/RIDE/VS/ED/GCFI/Resumen-ejecutivo-encuesta-SABE.pdf" TargetMode="External"/><Relationship Id="rId25" Type="http://schemas.openxmlformats.org/officeDocument/2006/relationships/hyperlink" Target="https://www.integracionsocial.gov.co/images/_docs/2023/transparencia/publicacion/30122023-Actualizacion-LineaBase-PPSEV-SDIS.pdf" TargetMode="External"/><Relationship Id="rId33" Type="http://schemas.openxmlformats.org/officeDocument/2006/relationships/hyperlink" Target="https://drive.google.com/drive/folders/14taw7KSYDLLLmrHW00PAefIXU-mqiR2S"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saldarriagaconcha.org/wp-content/uploads/2023/11/MCE-00-1-Completo-Octubre12-2023.pdf" TargetMode="External"/><Relationship Id="rId20" Type="http://schemas.openxmlformats.org/officeDocument/2006/relationships/hyperlink" Target="https://docs.un.org/en/A/RES/75/131" TargetMode="External"/><Relationship Id="rId29" Type="http://schemas.openxmlformats.org/officeDocument/2006/relationships/hyperlink" Target="https://www.integracionsocial.gov.co/images/_docs/2024/Documentos/24122024-Tipologia-Abandono-persona-mayor.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integracionsocial.gov.co/images/_docs/2023/documentos/politicas-publicas/28092023-conpes_dc_19_pp_vejez.pdf" TargetMode="External"/><Relationship Id="rId32" Type="http://schemas.openxmlformats.org/officeDocument/2006/relationships/hyperlink" Target="https://www.sdp.gov.co/sites/default/files/20220430_informe_inclusion_productiva_p_mayores.pdf"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saldarriagaconcha.org/wp-content/uploads/2019/01/pm_proceso_envejecimiento.pdf" TargetMode="External"/><Relationship Id="rId23" Type="http://schemas.openxmlformats.org/officeDocument/2006/relationships/hyperlink" Target="https://www.integracionsocial.gov.co/images/_docs/2022/politicas_publicas/28062023-politica_publica_para_el_envejecimiento_y_la_vejez.pdf" TargetMode="External"/><Relationship Id="rId28" Type="http://schemas.openxmlformats.org/officeDocument/2006/relationships/hyperlink" Target="https://www.integracionsocial.gov.co/images/_docs/2024/Documentos/17122024-Memorias-Evento-Academico-Las-personas-mayores-toman-palabra.pdf" TargetMode="External"/><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unctad.org/system/files/official-document/ares70d1_es.pdf" TargetMode="External"/><Relationship Id="rId31" Type="http://schemas.openxmlformats.org/officeDocument/2006/relationships/hyperlink" Target="https://web.facebook.com/integracionsocialbogota/videos/%EF%B8%8F/1277688020354579/?_rdc=1&amp;_rdr"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dane.gov.co/index.php/estadisticas-por-tema/demografia-y-poblacion/proyecciones-de-poblacion" TargetMode="External"/><Relationship Id="rId22" Type="http://schemas.openxmlformats.org/officeDocument/2006/relationships/hyperlink" Target="https://revistas.javeriana.edu.co/files-articulos/UMED/61-2%20(2020)/231062391009/" TargetMode="External"/><Relationship Id="rId27" Type="http://schemas.openxmlformats.org/officeDocument/2006/relationships/hyperlink" Target="https://www.integracionsocial.gov.co/images/_docs/2023/transparencia/publicacion/30102023-Tomo2_Estudio-Implicaciones_emergencia_sanitaria_economica_social_COVID19_personas_mayores_SDIS.pdf" TargetMode="External"/><Relationship Id="rId30" Type="http://schemas.openxmlformats.org/officeDocument/2006/relationships/hyperlink" Target="https://www.integracionsocial.gov.co/images/_docs/2025/Entidad/localidades/12052025-3-Santa-Fe-Diagnostico-2024.pdf" TargetMode="External"/><Relationship Id="rId35" Type="http://schemas.openxmlformats.org/officeDocument/2006/relationships/header" Target="header1.xml"/><Relationship Id="rId8" Type="http://schemas.openxmlformats.org/officeDocument/2006/relationships/settings" Target="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EDA4A366DA6D742B1FB42AFA44DFB60" ma:contentTypeVersion="10" ma:contentTypeDescription="Crear nuevo documento." ma:contentTypeScope="" ma:versionID="f760dddb1f32345d9587adb566fc78ba">
  <xsd:schema xmlns:xsd="http://www.w3.org/2001/XMLSchema" xmlns:xs="http://www.w3.org/2001/XMLSchema" xmlns:p="http://schemas.microsoft.com/office/2006/metadata/properties" xmlns:ns2="8ef8348f-dc09-4770-9d91-ef9cff4ed33a" xmlns:ns3="203572c4-9009-4c34-beaa-0473ec5244d9" targetNamespace="http://schemas.microsoft.com/office/2006/metadata/properties" ma:root="true" ma:fieldsID="e424b583dfefea96894e861192e9f981" ns2:_="" ns3:_="">
    <xsd:import namespace="8ef8348f-dc09-4770-9d91-ef9cff4ed33a"/>
    <xsd:import namespace="203572c4-9009-4c34-beaa-0473ec5244d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f8348f-dc09-4770-9d91-ef9cff4ed3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41f14a09-b142-4f1a-9b1d-85a23056d56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3572c4-9009-4c34-beaa-0473ec5244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b15a3c8-988d-417f-9840-9436f577d84f}" ma:internalName="TaxCatchAll" ma:showField="CatchAllData" ma:web="203572c4-9009-4c34-beaa-0473ec5244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go:docsCustomData xmlns:go="http://customooxmlschemas.google.com/" roundtripDataSignature="AMtx7mikOWiryH437igrYUVRPUxsmNbTqA==">AMUW2mWkvPKdXAYnyXmzQ63bd7/pysYB8KeQDRpsLH1AQXpFwd06UgkoaD8b/m/fXU4c0BG9mtlyAXYiy1E5S6hWfnUnxn1leKge7hm+R5ikxr7p01AzqeU=</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TaxCatchAll xmlns="203572c4-9009-4c34-beaa-0473ec5244d9" xsi:nil="true"/>
    <lcf76f155ced4ddcb4097134ff3c332f xmlns="8ef8348f-dc09-4770-9d91-ef9cff4ed33a">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CDEA70-0526-4DA9-AB16-26F867C9C6EF}"/>
</file>

<file path=customXml/itemProps2.xml><?xml version="1.0" encoding="utf-8"?>
<ds:datastoreItem xmlns:ds="http://schemas.openxmlformats.org/officeDocument/2006/customXml" ds:itemID="{15CE65FA-2E72-4810-95C2-957B60A3405B}">
  <ds:schemaRefs>
    <ds:schemaRef ds:uri="http://schemas.openxmlformats.org/officeDocument/2006/bibliography"/>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017CCBB3-158F-4586-83B5-C4DB4ED2AD64}">
  <ds:schemaRefs>
    <ds:schemaRef ds:uri="http://schemas.microsoft.com/office/2006/metadata/properties"/>
    <ds:schemaRef ds:uri="http://schemas.microsoft.com/office/infopath/2007/PartnerControls"/>
    <ds:schemaRef ds:uri="bbb0c1b4-1e80-4b13-99e8-394c758dbf45"/>
    <ds:schemaRef ds:uri="e73565db-e967-44cd-b4ac-adaf4b64c325"/>
  </ds:schemaRefs>
</ds:datastoreItem>
</file>

<file path=customXml/itemProps5.xml><?xml version="1.0" encoding="utf-8"?>
<ds:datastoreItem xmlns:ds="http://schemas.openxmlformats.org/officeDocument/2006/customXml" ds:itemID="{97B848DD-0905-4FA6-9739-8F046DFA92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5426</Words>
  <Characters>29843</Characters>
  <Application>Microsoft Office Word</Application>
  <DocSecurity>0</DocSecurity>
  <Lines>248</Lines>
  <Paragraphs>70</Paragraphs>
  <ScaleCrop>false</ScaleCrop>
  <Company/>
  <LinksUpToDate>false</LinksUpToDate>
  <CharactersWithSpaces>35199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 Alarcón</dc:creator>
  <cp:keywords/>
  <cp:lastModifiedBy>Juan Carlos Rojas Reyes</cp:lastModifiedBy>
  <cp:revision>50</cp:revision>
  <cp:lastPrinted>2025-04-22T01:02:00Z</cp:lastPrinted>
  <dcterms:created xsi:type="dcterms:W3CDTF">2025-07-24T23:40:00Z</dcterms:created>
  <dcterms:modified xsi:type="dcterms:W3CDTF">2025-08-08T20:21:00Z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0x0101008EDA4A366DA6D742B1FB42AFA44DFB60</vt:lpwstr>
  </property>
  <property fmtid="{D5CDD505-2E9C-101B-9397-08002B2CF9AE}" pid="3" name="MediaServiceImageTags">
    <vt:lpwstr/>
  </property>
</Properties>
</file>